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ins w:id="36" w:author="BBO" w:date="2024-04-08T15:30:48Z">
        <w:r>
          <w:rPr>
            <w:rFonts w:hint="eastAsia" w:ascii="黑体" w:hAnsi="黑体" w:eastAsia="黑体" w:cs="黑体"/>
            <w:sz w:val="32"/>
            <w:szCs w:val="32"/>
            <w:lang w:val="en-US" w:eastAsia="zh-CN"/>
          </w:rPr>
          <w:br w:type="textWrapping"/>
        </w:r>
      </w:ins>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bookmarkStart w:id="0" w:name="_GoBack"/>
      <w:bookmarkEnd w:id="0"/>
      <w:r>
        <w:rPr>
          <w:rFonts w:hint="eastAsia" w:ascii="方正小标宋简体" w:hAnsi="方正小标宋简体" w:eastAsia="方正小标宋简体" w:cs="方正小标宋简体"/>
          <w:b/>
          <w:bCs/>
          <w:sz w:val="44"/>
          <w:szCs w:val="44"/>
          <w:lang w:val="en-US" w:eastAsia="zh-CN"/>
        </w:rPr>
        <w:t>武汉市2024年建筑节能与绿色建筑发展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目标任务及工作要点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以习近平新时代中国特色社会主义思想为指导，全面</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rPr>
        <w:t>贯彻党的二十大精神，</w:t>
      </w:r>
      <w:r>
        <w:rPr>
          <w:rFonts w:hint="eastAsia" w:ascii="仿宋_GB2312" w:hAnsi="仿宋_GB2312" w:eastAsia="仿宋_GB2312" w:cs="仿宋_GB2312"/>
          <w:sz w:val="32"/>
          <w:szCs w:val="32"/>
          <w:lang w:val="en-US" w:eastAsia="zh-CN"/>
        </w:rPr>
        <w:t>紧紧围绕国家、省、市重大决策部署，以</w:t>
      </w:r>
      <w:r>
        <w:rPr>
          <w:rFonts w:hint="default" w:ascii="仿宋_GB2312" w:hAnsi="仿宋_GB2312" w:eastAsia="仿宋_GB2312" w:cs="仿宋_GB2312"/>
          <w:sz w:val="32"/>
          <w:szCs w:val="32"/>
          <w:lang w:val="en-US" w:eastAsia="zh-CN"/>
        </w:rPr>
        <w:t>推动建筑领域节能降碳</w:t>
      </w:r>
      <w:r>
        <w:rPr>
          <w:rFonts w:hint="eastAsia" w:ascii="仿宋_GB2312" w:hAnsi="仿宋_GB2312" w:eastAsia="仿宋_GB2312" w:cs="仿宋_GB2312"/>
          <w:sz w:val="32"/>
          <w:szCs w:val="32"/>
          <w:lang w:val="en-US" w:eastAsia="zh-CN"/>
        </w:rPr>
        <w:t>为目标导向，坚持强基固本、蓄势赋能，持续走好绿色低碳之路；坚持纵深推进、突出重点，聚焦建筑节能、绿色建筑、装配式建筑、预拌混凝土（砂浆）等方面重点举措；坚持执行落实、从严从细，切实提高政策执行能力和行业管理效能，</w:t>
      </w:r>
      <w:r>
        <w:rPr>
          <w:rFonts w:hint="default" w:ascii="仿宋_GB2312" w:hAnsi="仿宋_GB2312" w:eastAsia="仿宋_GB2312" w:cs="仿宋_GB2312"/>
          <w:sz w:val="32"/>
          <w:szCs w:val="32"/>
          <w:lang w:val="en-US" w:eastAsia="zh-CN"/>
        </w:rPr>
        <w:t>实现建筑节能高质量发展。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二、目标任务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（一）执行建筑节能标准。</w:t>
      </w:r>
      <w:r>
        <w:rPr>
          <w:rFonts w:hint="eastAsia" w:ascii="仿宋_GB2312" w:hAnsi="仿宋_GB2312" w:eastAsia="仿宋_GB2312" w:cs="仿宋_GB2312"/>
          <w:sz w:val="32"/>
          <w:szCs w:val="32"/>
          <w:lang w:val="en-US" w:eastAsia="zh-CN"/>
        </w:rPr>
        <w:t>各区新建民用建筑严格执行现行建筑节能设计标准，建筑节能标准执行率达100%。全市新增竣工节能建筑面积1863万平方米。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（二）推广绿色建筑。</w:t>
      </w:r>
      <w:r>
        <w:rPr>
          <w:rFonts w:hint="eastAsia" w:ascii="仿宋_GB2312" w:hAnsi="仿宋_GB2312" w:eastAsia="仿宋_GB2312" w:cs="仿宋_GB2312"/>
          <w:sz w:val="32"/>
          <w:szCs w:val="32"/>
          <w:lang w:val="en-US" w:eastAsia="zh-CN"/>
        </w:rPr>
        <w:t>各区新建民用建筑在设计阶段绿色建筑标准执行率达99%，竣工民用建筑中绿色建筑占比达95%。全市新增竣工绿色建筑面积1676.5万平方米，新增竣工星级绿色建筑面积248万平方米，全市超低能耗（近零碳）建筑试点示范面积累计45万平方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（三）促进可再生能源建筑规模应用。</w:t>
      </w:r>
      <w:r>
        <w:rPr>
          <w:rFonts w:hint="eastAsia" w:ascii="仿宋_GB2312" w:hAnsi="仿宋_GB2312" w:eastAsia="仿宋_GB2312" w:cs="仿宋_GB2312"/>
          <w:sz w:val="32"/>
          <w:szCs w:val="32"/>
          <w:lang w:val="en-US" w:eastAsia="zh-CN"/>
        </w:rPr>
        <w:t>全市竣工可再生能源建筑应用面积1608.5万平方米，</w:t>
      </w:r>
      <w:r>
        <w:rPr>
          <w:rFonts w:hint="default" w:ascii="仿宋_GB2312" w:hAnsi="仿宋_GB2312" w:eastAsia="仿宋_GB2312" w:cs="仿宋_GB2312"/>
          <w:sz w:val="32"/>
          <w:szCs w:val="32"/>
          <w:lang w:val="en-US" w:eastAsia="zh-CN"/>
        </w:rPr>
        <w:t>新增太阳能光伏建筑应用装机容量32.75兆瓦。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（四）推广应用新型墙材和绿色建材。</w:t>
      </w:r>
      <w:r>
        <w:rPr>
          <w:rFonts w:hint="eastAsia" w:ascii="仿宋_GB2312" w:hAnsi="仿宋_GB2312" w:eastAsia="仿宋_GB2312" w:cs="仿宋_GB2312"/>
          <w:sz w:val="32"/>
          <w:szCs w:val="32"/>
          <w:lang w:val="en-US" w:eastAsia="zh-CN"/>
        </w:rPr>
        <w:t>各区在建工程新型墙体材料应用率达100%，新建建筑绿色建材应用比例达45%。</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（五）推进既有建筑节能绿色化改造。</w:t>
      </w:r>
      <w:r>
        <w:rPr>
          <w:rFonts w:hint="eastAsia" w:ascii="仿宋_GB2312" w:hAnsi="仿宋_GB2312" w:eastAsia="仿宋_GB2312" w:cs="仿宋_GB2312"/>
          <w:sz w:val="32"/>
          <w:szCs w:val="32"/>
          <w:lang w:val="en-US" w:eastAsia="zh-CN"/>
        </w:rPr>
        <w:t>全市完成既有建筑节能绿色化改造面积164万平方米。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（六）新增建筑节能能力。</w:t>
      </w:r>
      <w:r>
        <w:rPr>
          <w:rFonts w:hint="eastAsia" w:ascii="仿宋_GB2312" w:hAnsi="仿宋_GB2312" w:eastAsia="仿宋_GB2312" w:cs="仿宋_GB2312"/>
          <w:sz w:val="32"/>
          <w:szCs w:val="32"/>
          <w:lang w:val="en-US" w:eastAsia="zh-CN"/>
        </w:rPr>
        <w:t>全市新增建筑节能能力38.91万吨标准煤（减少二氧化碳排放103.51万吨）。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（七）发展装配式建筑。</w:t>
      </w:r>
      <w:r>
        <w:rPr>
          <w:rFonts w:hint="eastAsia" w:ascii="仿宋_GB2312" w:hAnsi="仿宋_GB2312" w:eastAsia="仿宋_GB2312" w:cs="仿宋_GB2312"/>
          <w:sz w:val="32"/>
          <w:szCs w:val="32"/>
        </w:rPr>
        <w:t>全市新建装配式建筑面积</w:t>
      </w:r>
      <w:r>
        <w:rPr>
          <w:rFonts w:hint="eastAsia" w:ascii="仿宋_GB2312" w:hAnsi="仿宋_GB2312" w:eastAsia="仿宋_GB2312" w:cs="仿宋_GB2312"/>
          <w:sz w:val="32"/>
          <w:szCs w:val="32"/>
          <w:lang w:val="en-US" w:eastAsia="zh-CN"/>
        </w:rPr>
        <w:t>2100</w:t>
      </w:r>
      <w:r>
        <w:rPr>
          <w:rFonts w:hint="eastAsia" w:ascii="仿宋_GB2312" w:hAnsi="仿宋_GB2312" w:eastAsia="仿宋_GB2312" w:cs="仿宋_GB2312"/>
          <w:sz w:val="32"/>
          <w:szCs w:val="32"/>
        </w:rPr>
        <w:t>万平方米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八</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促进散装水泥及</w:t>
      </w:r>
      <w:r>
        <w:rPr>
          <w:rFonts w:hint="default" w:ascii="楷体_GB2312" w:hAnsi="楷体_GB2312" w:eastAsia="楷体_GB2312" w:cs="楷体_GB2312"/>
          <w:b/>
          <w:bCs/>
          <w:sz w:val="32"/>
          <w:szCs w:val="32"/>
          <w:lang w:val="en-US" w:eastAsia="zh-CN"/>
        </w:rPr>
        <w:t>预拌混凝土</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砂浆</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应用。</w:t>
      </w:r>
      <w:r>
        <w:rPr>
          <w:rFonts w:hint="default" w:ascii="仿宋_GB2312" w:hAnsi="仿宋_GB2312" w:eastAsia="仿宋_GB2312" w:cs="仿宋_GB2312"/>
          <w:sz w:val="32"/>
          <w:szCs w:val="32"/>
          <w:lang w:val="en-US" w:eastAsia="zh-CN"/>
        </w:rPr>
        <w:t>各区房屋建筑预拌混凝土应用率</w:t>
      </w:r>
      <w:r>
        <w:rPr>
          <w:rFonts w:hint="eastAsia" w:ascii="仿宋_GB2312" w:hAnsi="仿宋_GB2312" w:eastAsia="仿宋_GB2312" w:cs="仿宋_GB2312"/>
          <w:sz w:val="32"/>
          <w:szCs w:val="32"/>
          <w:lang w:val="en-US" w:eastAsia="zh-CN"/>
        </w:rPr>
        <w:t>达</w:t>
      </w:r>
      <w:r>
        <w:rPr>
          <w:rFonts w:hint="default"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中心城区</w:t>
      </w:r>
      <w:r>
        <w:rPr>
          <w:rFonts w:hint="eastAsia" w:ascii="仿宋_GB2312" w:hAnsi="仿宋_GB2312" w:eastAsia="仿宋_GB2312" w:cs="仿宋_GB2312"/>
          <w:sz w:val="32"/>
          <w:szCs w:val="32"/>
          <w:lang w:val="en-US" w:eastAsia="zh-CN"/>
        </w:rPr>
        <w:t>（开发区、长江新区）</w:t>
      </w:r>
      <w:r>
        <w:rPr>
          <w:rFonts w:hint="default" w:ascii="仿宋_GB2312" w:hAnsi="仿宋_GB2312" w:eastAsia="仿宋_GB2312" w:cs="仿宋_GB2312"/>
          <w:sz w:val="32"/>
          <w:szCs w:val="32"/>
          <w:lang w:val="en-US" w:eastAsia="zh-CN"/>
        </w:rPr>
        <w:t>预拌砂浆应用率</w:t>
      </w:r>
      <w:r>
        <w:rPr>
          <w:rFonts w:hint="eastAsia" w:ascii="仿宋_GB2312" w:hAnsi="仿宋_GB2312" w:eastAsia="仿宋_GB2312" w:cs="仿宋_GB2312"/>
          <w:sz w:val="32"/>
          <w:szCs w:val="32"/>
          <w:lang w:val="en-US" w:eastAsia="zh-CN"/>
        </w:rPr>
        <w:t>达</w:t>
      </w:r>
      <w:r>
        <w:rPr>
          <w:rFonts w:hint="default" w:ascii="仿宋_GB2312" w:hAnsi="仿宋_GB2312" w:eastAsia="仿宋_GB2312" w:cs="仿宋_GB2312"/>
          <w:sz w:val="32"/>
          <w:szCs w:val="32"/>
          <w:lang w:val="en-US" w:eastAsia="zh-CN"/>
        </w:rPr>
        <w:t>100%，新城区预拌砂浆应用率</w:t>
      </w:r>
      <w:r>
        <w:rPr>
          <w:rFonts w:hint="eastAsia" w:ascii="仿宋_GB2312" w:hAnsi="仿宋_GB2312" w:eastAsia="仿宋_GB2312" w:cs="仿宋_GB2312"/>
          <w:sz w:val="32"/>
          <w:szCs w:val="32"/>
          <w:lang w:val="en-US" w:eastAsia="zh-CN"/>
        </w:rPr>
        <w:t>达</w:t>
      </w:r>
      <w:r>
        <w:rPr>
          <w:rFonts w:hint="default" w:ascii="仿宋_GB2312" w:hAnsi="仿宋_GB2312" w:eastAsia="仿宋_GB2312" w:cs="仿宋_GB2312"/>
          <w:sz w:val="32"/>
          <w:szCs w:val="32"/>
          <w:lang w:val="en-US" w:eastAsia="zh-CN"/>
        </w:rPr>
        <w:t>95%。全市预拌混凝土供应量3019万立方米，全市预拌砂浆应用量200万吨，全市散装水泥供应量804万吨。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（一）细化工作举措，强化目标管理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1.依据</w:t>
      </w:r>
      <w:r>
        <w:rPr>
          <w:rFonts w:hint="eastAsia" w:ascii="仿宋_GB2312" w:hAnsi="仿宋_GB2312" w:eastAsia="仿宋_GB2312" w:cs="仿宋_GB2312"/>
          <w:sz w:val="32"/>
          <w:szCs w:val="32"/>
        </w:rPr>
        <w:t>省、市下达的目标任务，</w:t>
      </w:r>
      <w:r>
        <w:rPr>
          <w:rFonts w:hint="eastAsia" w:ascii="仿宋_GB2312" w:hAnsi="仿宋_GB2312" w:eastAsia="仿宋_GB2312" w:cs="仿宋_GB2312"/>
          <w:sz w:val="32"/>
          <w:szCs w:val="32"/>
          <w:lang w:val="en-US" w:eastAsia="zh-CN"/>
        </w:rPr>
        <w:t>科学分解目标，</w:t>
      </w:r>
      <w:r>
        <w:rPr>
          <w:rFonts w:hint="eastAsia" w:ascii="仿宋_GB2312" w:hAnsi="仿宋_GB2312" w:eastAsia="仿宋_GB2312" w:cs="仿宋_GB2312"/>
          <w:sz w:val="32"/>
          <w:szCs w:val="32"/>
        </w:rPr>
        <w:t>完善各项管理制度，每月及时将相关数据、报表、工作情况进行汇总上报。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（二）严格执行政策，加强全过程监管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严格执行</w:t>
      </w:r>
      <w:r>
        <w:rPr>
          <w:rFonts w:hint="eastAsia" w:ascii="仿宋_GB2312" w:hAnsi="仿宋_GB2312" w:eastAsia="仿宋_GB2312" w:cs="仿宋_GB2312"/>
          <w:sz w:val="32"/>
          <w:szCs w:val="32"/>
          <w:lang w:val="en-US" w:eastAsia="zh-CN"/>
        </w:rPr>
        <w:t>国家、省、市发布的建筑节能、绿色建筑、装配式建筑及预拌混凝土等方面的现行政策、技术标准的相关要求，</w:t>
      </w:r>
      <w:r>
        <w:rPr>
          <w:rFonts w:hint="eastAsia" w:ascii="仿宋_GB2312" w:hAnsi="仿宋_GB2312" w:eastAsia="仿宋_GB2312" w:cs="仿宋_GB2312"/>
          <w:sz w:val="32"/>
          <w:szCs w:val="32"/>
        </w:rPr>
        <w:t>切实加强设计、图审、施工、验收、归档等全过程监督管理。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（三）坚持示范引领，持续试点推进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3.推动绿色建筑、超低能耗（</w:t>
      </w:r>
      <w:r>
        <w:rPr>
          <w:rFonts w:hint="eastAsia" w:ascii="仿宋_GB2312" w:hAnsi="仿宋_GB2312" w:eastAsia="仿宋_GB2312" w:cs="仿宋_GB2312"/>
          <w:sz w:val="32"/>
          <w:szCs w:val="32"/>
        </w:rPr>
        <w:t>近零碳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w:t>
      </w:r>
      <w:r>
        <w:rPr>
          <w:rFonts w:hint="eastAsia" w:ascii="仿宋_GB2312" w:hAnsi="仿宋_GB2312" w:eastAsia="仿宋_GB2312" w:cs="仿宋_GB2312"/>
          <w:sz w:val="32"/>
          <w:szCs w:val="32"/>
          <w:lang w:val="en-US" w:eastAsia="zh-CN"/>
        </w:rPr>
        <w:t>、装配式建筑试点示范项目工作，鼓励符合条件的项目和基地积极申报国家、省试点示范，充分发挥引领作用，逐步形成可复制、可推广的经验和做法。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（四）强化监督检查，推进依法行政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4.组织开展</w:t>
      </w:r>
      <w:r>
        <w:rPr>
          <w:rFonts w:hint="eastAsia" w:ascii="仿宋_GB2312" w:hAnsi="仿宋_GB2312" w:eastAsia="仿宋_GB2312" w:cs="仿宋_GB2312"/>
          <w:sz w:val="32"/>
          <w:szCs w:val="32"/>
        </w:rPr>
        <w:t>“双随机、一公开”</w:t>
      </w:r>
      <w:r>
        <w:rPr>
          <w:rFonts w:hint="default" w:ascii="仿宋_GB2312" w:hAnsi="仿宋_GB2312" w:eastAsia="仿宋_GB2312" w:cs="仿宋_GB2312"/>
          <w:sz w:val="32"/>
          <w:szCs w:val="32"/>
          <w:lang w:val="en-US" w:eastAsia="zh-CN"/>
        </w:rPr>
        <w:t>执法检查、专项检查及日常巡查</w:t>
      </w:r>
      <w:r>
        <w:rPr>
          <w:rFonts w:hint="eastAsia" w:ascii="仿宋_GB2312" w:hAnsi="仿宋_GB2312" w:eastAsia="仿宋_GB2312" w:cs="仿宋_GB2312"/>
          <w:sz w:val="32"/>
          <w:szCs w:val="32"/>
        </w:rPr>
        <w:t>，及时发现问题，并通过不良行为公示、信用体系登记、行政处罚等方式督促其问题整改落实到位。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w:t>
      </w:r>
      <w:r>
        <w:rPr>
          <w:rFonts w:hint="default" w:ascii="楷体_GB2312" w:hAnsi="楷体_GB2312" w:eastAsia="楷体_GB2312" w:cs="楷体_GB2312"/>
          <w:b/>
          <w:bCs/>
          <w:sz w:val="32"/>
          <w:szCs w:val="32"/>
          <w:lang w:val="en-US" w:eastAsia="zh-CN"/>
        </w:rPr>
        <w:t>优化用能结构，提升建筑能效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5.落实</w:t>
      </w:r>
      <w:r>
        <w:rPr>
          <w:rFonts w:hint="eastAsia" w:ascii="仿宋_GB2312" w:hAnsi="仿宋_GB2312" w:eastAsia="仿宋_GB2312" w:cs="仿宋_GB2312"/>
          <w:sz w:val="32"/>
          <w:szCs w:val="32"/>
        </w:rPr>
        <w:t>新建居住建筑、公共建筑和工业厂房应至少使用一种可再生能源</w:t>
      </w:r>
      <w:r>
        <w:rPr>
          <w:rFonts w:hint="eastAsia" w:ascii="仿宋_GB2312" w:hAnsi="仿宋_GB2312" w:eastAsia="仿宋_GB2312" w:cs="仿宋_GB2312"/>
          <w:sz w:val="32"/>
          <w:szCs w:val="32"/>
          <w:lang w:val="en-US" w:eastAsia="zh-CN"/>
        </w:rPr>
        <w:t>系统的要求（</w:t>
      </w:r>
      <w:r>
        <w:rPr>
          <w:rFonts w:hint="eastAsia" w:ascii="仿宋_GB2312" w:hAnsi="仿宋_GB2312" w:eastAsia="仿宋_GB2312" w:cs="仿宋_GB2312"/>
          <w:sz w:val="32"/>
          <w:szCs w:val="32"/>
        </w:rPr>
        <w:t>太阳能系统、地源热泵系统或空气源热泵系统等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应当与建筑主体工程同时设计、同时施工、同时验收和投入使用。</w:t>
      </w:r>
      <w:r>
        <w:rPr>
          <w:rFonts w:hint="default" w:ascii="仿宋_GB2312" w:hAnsi="仿宋_GB2312" w:eastAsia="仿宋_GB2312" w:cs="仿宋_GB2312"/>
          <w:sz w:val="32"/>
          <w:szCs w:val="32"/>
          <w:lang w:val="en-US" w:eastAsia="zh-CN"/>
        </w:rPr>
        <w:t>强化太阳能光伏系统在新建公共机构建筑、新建厂房屋面及既有公共机构建筑</w:t>
      </w:r>
      <w:r>
        <w:rPr>
          <w:rFonts w:hint="eastAsia" w:ascii="仿宋_GB2312" w:hAnsi="仿宋_GB2312" w:eastAsia="仿宋_GB2312" w:cs="仿宋_GB2312"/>
          <w:sz w:val="32"/>
          <w:szCs w:val="32"/>
          <w:lang w:val="en-US" w:eastAsia="zh-CN"/>
        </w:rPr>
        <w:t>中的</w:t>
      </w:r>
      <w:r>
        <w:rPr>
          <w:rFonts w:hint="default" w:ascii="仿宋_GB2312" w:hAnsi="仿宋_GB2312" w:eastAsia="仿宋_GB2312" w:cs="仿宋_GB2312"/>
          <w:sz w:val="32"/>
          <w:szCs w:val="32"/>
          <w:lang w:val="en-US" w:eastAsia="zh-CN"/>
        </w:rPr>
        <w:t>应用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光伏</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rPr>
        <w:t>安装面积占屋顶面积的比例</w:t>
      </w:r>
      <w:r>
        <w:rPr>
          <w:rFonts w:hint="eastAsia" w:ascii="仿宋_GB2312" w:hAnsi="仿宋_GB2312" w:eastAsia="仿宋_GB2312" w:cs="仿宋_GB2312"/>
          <w:sz w:val="32"/>
          <w:szCs w:val="32"/>
          <w:lang w:val="en-US" w:eastAsia="zh-CN"/>
        </w:rPr>
        <w:t>不低于30%，</w:t>
      </w:r>
      <w:r>
        <w:rPr>
          <w:rFonts w:hint="eastAsia" w:ascii="仿宋_GB2312" w:hAnsi="仿宋_GB2312" w:eastAsia="仿宋_GB2312" w:cs="仿宋_GB2312"/>
          <w:sz w:val="32"/>
          <w:szCs w:val="32"/>
        </w:rPr>
        <w:t>全市太阳能光伏建筑应用不低于</w:t>
      </w:r>
      <w:r>
        <w:rPr>
          <w:rFonts w:hint="eastAsia" w:ascii="仿宋_GB2312" w:hAnsi="仿宋_GB2312" w:eastAsia="仿宋_GB2312" w:cs="仿宋_GB2312"/>
          <w:sz w:val="32"/>
          <w:szCs w:val="32"/>
          <w:lang w:val="en-US" w:eastAsia="zh-CN"/>
        </w:rPr>
        <w:t>32.75</w:t>
      </w:r>
      <w:r>
        <w:rPr>
          <w:rFonts w:hint="eastAsia" w:ascii="仿宋_GB2312" w:hAnsi="仿宋_GB2312" w:eastAsia="仿宋_GB2312" w:cs="仿宋_GB2312"/>
          <w:sz w:val="32"/>
          <w:szCs w:val="32"/>
        </w:rPr>
        <w:t>兆瓦。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（六）促进绿建发展，稳步提升品质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推动集中新建的保障性住房按照不低于一星级标准建设，推进新建国家机关办公建筑、大型公共建筑、国有资金参与投资建设的公益性建筑按照不低于二星级标准建设。积极开展绿色建筑标识的认定工作，辖区内</w:t>
      </w:r>
      <w:r>
        <w:rPr>
          <w:rFonts w:hint="eastAsia" w:ascii="仿宋_GB2312" w:hAnsi="仿宋_GB2312" w:eastAsia="仿宋_GB2312" w:cs="仿宋_GB2312"/>
          <w:sz w:val="32"/>
          <w:szCs w:val="32"/>
        </w:rPr>
        <w:t>新增星级绿色建筑标识项目不少于2个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其中高星级绿色建筑标识项目不少于1个</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7.推动</w:t>
      </w:r>
      <w:r>
        <w:rPr>
          <w:rFonts w:hint="eastAsia" w:ascii="仿宋_GB2312" w:hAnsi="仿宋_GB2312" w:eastAsia="仿宋_GB2312" w:cs="仿宋_GB2312"/>
          <w:sz w:val="32"/>
          <w:szCs w:val="32"/>
        </w:rPr>
        <w:t>国家机关办公建筑、大型公共建筑以及国有资金参与投资建设的公益性建筑优先使用绿色建材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鼓励其他项目选用绿色建材，促进绿色建材规模化应用，辖区内新建建筑绿色建材应用</w:t>
      </w:r>
      <w:r>
        <w:rPr>
          <w:rFonts w:hint="eastAsia" w:ascii="仿宋_GB2312" w:hAnsi="仿宋_GB2312" w:eastAsia="仿宋_GB2312" w:cs="仿宋_GB2312"/>
          <w:sz w:val="32"/>
          <w:szCs w:val="32"/>
        </w:rPr>
        <w:t>比例不低于</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其中政府投资项目和大型公共建筑应用比例不低于50%。</w:t>
      </w:r>
      <w:r>
        <w:rPr>
          <w:rFonts w:hint="eastAsia" w:ascii="仿宋_GB2312" w:hAnsi="仿宋_GB2312" w:eastAsia="仿宋_GB2312" w:cs="仿宋_GB2312"/>
          <w:sz w:val="32"/>
          <w:szCs w:val="32"/>
          <w:lang w:val="en-US" w:eastAsia="zh-CN"/>
        </w:rPr>
        <w:t>同时，做好新型墙体材料认定转报工作，</w:t>
      </w:r>
      <w:r>
        <w:rPr>
          <w:rFonts w:hint="default" w:ascii="仿宋_GB2312" w:hAnsi="仿宋_GB2312" w:eastAsia="仿宋_GB2312" w:cs="仿宋_GB2312"/>
          <w:sz w:val="32"/>
          <w:szCs w:val="32"/>
          <w:lang w:val="en-US" w:eastAsia="zh-CN"/>
        </w:rPr>
        <w:t>引导</w:t>
      </w:r>
      <w:r>
        <w:rPr>
          <w:rFonts w:hint="eastAsia" w:ascii="仿宋_GB2312" w:hAnsi="仿宋_GB2312" w:eastAsia="仿宋_GB2312" w:cs="仿宋_GB2312"/>
          <w:sz w:val="32"/>
          <w:szCs w:val="32"/>
          <w:lang w:val="en-US" w:eastAsia="zh-CN"/>
        </w:rPr>
        <w:t>建材</w:t>
      </w:r>
      <w:r>
        <w:rPr>
          <w:rFonts w:hint="default" w:ascii="仿宋_GB2312" w:hAnsi="仿宋_GB2312" w:eastAsia="仿宋_GB2312" w:cs="仿宋_GB2312"/>
          <w:sz w:val="32"/>
          <w:szCs w:val="32"/>
          <w:lang w:val="en-US" w:eastAsia="zh-CN"/>
        </w:rPr>
        <w:t>企业积极申报绿色建材星级认定</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（七）发展装配式建筑，提升建造水平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8.推进装配式建筑在建设工程规划方案审查、施工图审查、数字化成果交付等环节采用建筑信息模型（BIM）技术，建立适合BIM技术应用的工程管理模式。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9.选取有条件的项目开展装配化装修试点，组织开展装配化装修相关技术标准研究，加强装配化装修企业与上下游企业的沟通。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支持现有装配式生产基地实施装备改造升级，支持构件生产企业研发模块化集成建筑等先进装配式技术体系，推动建立以标准产品为基础的专业化、规模化、工业化生产体系，推广应用数字化技术、系统集成技术、智能化装备和工业机器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（八）规范行为秩序，完善管理体系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11.坚持辖区预拌混凝土（砂浆）站点登记制，严打一站多生产经营主体、无资质供应建设工程项目、试块“代做代养”等违法违规行为。同时，开展原材料质量抽查，鼓励</w:t>
      </w:r>
      <w:r>
        <w:rPr>
          <w:rFonts w:hint="eastAsia" w:ascii="仿宋_GB2312" w:hAnsi="仿宋_GB2312" w:eastAsia="仿宋_GB2312" w:cs="仿宋_GB2312"/>
          <w:sz w:val="32"/>
          <w:szCs w:val="32"/>
        </w:rPr>
        <w:t>利用第三方力量辅助抽测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强化原材料溯源、配合比管控等质量行为的检查力度。每季度全覆盖检查不少于1次，年度专项检查不少于2次。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督促站点不断提高精细化管理水平，完善绿色生产硬件设施、坚持绿色运行习惯，开展星级标识评价、站点达标核验工作。对未达绿色生产星级标准、不符合资质标准的站点开展联合执法整治。辖区内站点绿色生产星级标准达标率达100%，绿色建材星级标识获评率达50%，取得绿色建材三星级证书不少于1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全面推广《武汉市预拌混凝土企业质量管理体系文件》，督促站点建立健全质量管理体系。鼓励预拌混凝土买卖主体使用《湖北省预拌混凝土买卖合同示范文本（试行）》。对照标准化创建“一站一策”计划目标及整改措施，持续提升达标率，辖区内标准化站点创建达标占比不低于65%。指导辖区内站点申领《安全生产标准化证书》，力争取得率达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推广混凝土企业专业信息化平台，串联工作线上</w:t>
      </w:r>
      <w:r>
        <w:rPr>
          <w:rFonts w:hint="eastAsia" w:ascii="仿宋_GB2312" w:hAnsi="仿宋_GB2312" w:eastAsia="仿宋_GB2312" w:cs="仿宋_GB2312"/>
          <w:sz w:val="32"/>
          <w:szCs w:val="32"/>
          <w:lang w:val="en-US" w:eastAsia="zh-CN"/>
        </w:rPr>
        <w:t>交易、车辆和厂站数字化管控，实现</w:t>
      </w:r>
      <w:r>
        <w:rPr>
          <w:rFonts w:hint="eastAsia" w:ascii="仿宋_GB2312" w:hAnsi="仿宋_GB2312" w:eastAsia="仿宋_GB2312" w:cs="仿宋_GB2312"/>
          <w:sz w:val="32"/>
          <w:szCs w:val="32"/>
        </w:rPr>
        <w:t>全流程、全要素服务，</w:t>
      </w:r>
      <w:r>
        <w:rPr>
          <w:rFonts w:hint="eastAsia" w:ascii="仿宋_GB2312" w:hAnsi="仿宋_GB2312" w:eastAsia="仿宋_GB2312" w:cs="仿宋_GB2312"/>
          <w:sz w:val="32"/>
          <w:szCs w:val="32"/>
          <w:lang w:val="en-US" w:eastAsia="zh-CN"/>
        </w:rPr>
        <w:t>鼓励站点购置使用新能源车辆、为搅拌车安装北斗系统，</w:t>
      </w:r>
      <w:r>
        <w:rPr>
          <w:rFonts w:hint="eastAsia" w:ascii="仿宋_GB2312" w:hAnsi="仿宋_GB2312" w:eastAsia="仿宋_GB2312" w:cs="仿宋_GB2312"/>
          <w:sz w:val="32"/>
          <w:szCs w:val="32"/>
        </w:rPr>
        <w:t>推动厂站高效智能管理，</w:t>
      </w:r>
      <w:r>
        <w:rPr>
          <w:rFonts w:hint="eastAsia" w:ascii="仿宋_GB2312" w:hAnsi="仿宋_GB2312" w:eastAsia="仿宋_GB2312" w:cs="仿宋_GB2312"/>
          <w:sz w:val="32"/>
          <w:szCs w:val="32"/>
          <w:lang w:val="en-US" w:eastAsia="zh-CN"/>
        </w:rPr>
        <w:t>打造</w:t>
      </w:r>
      <w:r>
        <w:rPr>
          <w:rFonts w:hint="eastAsia" w:ascii="仿宋_GB2312" w:hAnsi="仿宋_GB2312" w:eastAsia="仿宋_GB2312" w:cs="仿宋_GB2312"/>
          <w:sz w:val="32"/>
          <w:szCs w:val="32"/>
        </w:rPr>
        <w:t>智能</w:t>
      </w:r>
      <w:r>
        <w:rPr>
          <w:rFonts w:hint="eastAsia" w:ascii="仿宋_GB2312" w:hAnsi="仿宋_GB2312" w:eastAsia="仿宋_GB2312" w:cs="仿宋_GB2312"/>
          <w:sz w:val="32"/>
          <w:szCs w:val="32"/>
          <w:lang w:val="en-US" w:eastAsia="zh-CN"/>
        </w:rPr>
        <w:t>工厂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同时，按湖北省预散平台统一部署，8月底前，辖区内站点全数完成接入工作。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（九）推进节能改造，提高绿色化水平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15.鼓励以合同能源管理、政府和社会资本合作等模式推进民用建筑节能改造，畅通部门、事企信息渠道，及时统计既有建筑改造信息。做好既有建筑绿色化改造的技术服务和政策标准的宣传工作。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（十）发布信息动态，指导行业发展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积极汇总、上报建筑节能、绿色建筑、装配式建筑等相关信息及数据。同时，指导项目及企业在“鄂绿通”平台申报绿色金融支持，在“绿色建材”平台录入相应信息，完成省、市要求的相关信息填报及更新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（十一）开展宣传培训，营造节能氛围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充分利用互联网+、新闻媒体等</w:t>
      </w:r>
      <w:r>
        <w:rPr>
          <w:rFonts w:hint="eastAsia" w:ascii="仿宋_GB2312" w:hAnsi="仿宋_GB2312" w:eastAsia="仿宋_GB2312" w:cs="仿宋_GB2312"/>
          <w:sz w:val="32"/>
          <w:szCs w:val="32"/>
          <w:lang w:val="en-US" w:eastAsia="zh-CN"/>
        </w:rPr>
        <w:t>多种形式，展示区域亮点，在权威媒体上发布1-2篇新闻稿件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组织开展“节能宣传周”活动，</w:t>
      </w:r>
      <w:r>
        <w:rPr>
          <w:rFonts w:hint="eastAsia" w:ascii="仿宋_GB2312" w:hAnsi="仿宋_GB2312" w:eastAsia="仿宋_GB2312" w:cs="仿宋_GB2312"/>
          <w:sz w:val="32"/>
          <w:szCs w:val="32"/>
          <w:lang w:val="en-US" w:eastAsia="zh-CN"/>
        </w:rPr>
        <w:t>营造宣传氛围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18.围绕国家、省、市发布的新政策、新标准、新规范，组织开展设计、图审、施工、监理、质监等相关人员参与的宣贯活动。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武汉市2024年建筑节能与绿色建筑发展目标任务分解表</w:t>
      </w:r>
    </w:p>
    <w:tbl>
      <w:tblPr>
        <w:tblStyle w:val="9"/>
        <w:tblW w:w="52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92"/>
        <w:gridCol w:w="2925"/>
        <w:gridCol w:w="667"/>
        <w:gridCol w:w="667"/>
        <w:gridCol w:w="667"/>
        <w:gridCol w:w="667"/>
        <w:gridCol w:w="667"/>
        <w:gridCol w:w="667"/>
        <w:gridCol w:w="667"/>
        <w:gridCol w:w="667"/>
        <w:gridCol w:w="667"/>
        <w:gridCol w:w="667"/>
        <w:gridCol w:w="667"/>
        <w:gridCol w:w="667"/>
        <w:gridCol w:w="667"/>
        <w:gridCol w:w="667"/>
        <w:gridCol w:w="66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1" w:hRule="atLeast"/>
          <w:tblHeader/>
          <w:jc w:val="center"/>
        </w:trPr>
        <w:tc>
          <w:tcPr>
            <w:tcW w:w="792"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分类</w:t>
            </w:r>
          </w:p>
        </w:tc>
        <w:tc>
          <w:tcPr>
            <w:tcW w:w="2925"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年度目标任务</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江岸区</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江汉区</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硚口区</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汉阳区</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武昌区</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青山区</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洪山区</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东西</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湖区</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东湖</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高新区</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经开区</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黄陂</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新洲</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蔡甸区</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江夏区</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长江</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新区</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792" w:type="dxa"/>
            <w:vMerge w:val="restart"/>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建筑</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节能</w:t>
            </w:r>
          </w:p>
        </w:tc>
        <w:tc>
          <w:tcPr>
            <w:tcW w:w="2925" w:type="dxa"/>
            <w:shd w:val="clear" w:color="auto" w:fill="auto"/>
            <w:tcMar>
              <w:top w:w="15" w:type="dxa"/>
              <w:left w:w="15" w:type="dxa"/>
              <w:right w:w="15" w:type="dxa"/>
            </w:tcMar>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建筑节能标准执行率（%）</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792" w:type="dxa"/>
            <w:vMerge w:val="continue"/>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2925" w:type="dxa"/>
            <w:shd w:val="clear" w:color="auto" w:fill="auto"/>
            <w:tcMar>
              <w:top w:w="15" w:type="dxa"/>
              <w:left w:w="15" w:type="dxa"/>
              <w:right w:w="15" w:type="dxa"/>
            </w:tcMar>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新增居住建筑节能建筑面积不低于（万㎡）</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70.63</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37.71</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61.99</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146.88</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69.51</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29.98</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149.61</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163.43</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143.42</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80.25</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56.55</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22.36</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71.25</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122.99</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87.45</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792" w:type="dxa"/>
            <w:vMerge w:val="continue"/>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2925" w:type="dxa"/>
            <w:shd w:val="clear" w:color="auto" w:fill="auto"/>
            <w:tcMar>
              <w:top w:w="15" w:type="dxa"/>
              <w:left w:w="15" w:type="dxa"/>
              <w:right w:w="15" w:type="dxa"/>
            </w:tcMar>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新增公共建筑节能建筑面积不低于（万㎡）</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23.13</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26.14</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28.21</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38.26</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33.09</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7.53</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74.24</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78.69</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67.83</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43.81</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13.74</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9.04</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21.89</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52.71</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30.70</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792" w:type="dxa"/>
            <w:vMerge w:val="continue"/>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2925" w:type="dxa"/>
            <w:shd w:val="clear" w:color="auto" w:fill="auto"/>
            <w:tcMar>
              <w:top w:w="15" w:type="dxa"/>
              <w:left w:w="15" w:type="dxa"/>
              <w:right w:w="15" w:type="dxa"/>
            </w:tcMar>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超低能耗（近零碳）试点示范建筑面积累计不低于（万㎡）</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792" w:type="dxa"/>
            <w:vMerge w:val="continue"/>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2925" w:type="dxa"/>
            <w:shd w:val="clear" w:color="auto" w:fill="auto"/>
            <w:tcMar>
              <w:top w:w="15" w:type="dxa"/>
              <w:left w:w="15" w:type="dxa"/>
              <w:right w:w="15" w:type="dxa"/>
            </w:tcMar>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太阳能光热、空气能热水及浅层地热建筑应用不低于（万㎡）</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80.93</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55.16</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77.88</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159.77</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88.60</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32.37</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193.30</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209.07</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182.41</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107.14</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60.68</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27.11</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80.41</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151.69</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101.99</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1608.5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792" w:type="dxa"/>
            <w:vMerge w:val="continue"/>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2925" w:type="dxa"/>
            <w:shd w:val="clear" w:color="auto" w:fill="auto"/>
            <w:tcMar>
              <w:top w:w="15" w:type="dxa"/>
              <w:left w:w="15" w:type="dxa"/>
              <w:right w:w="15" w:type="dxa"/>
            </w:tcMar>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太阳能光伏建筑应用不低于（MW）</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1.14</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0.77</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1.09</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2.24</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1.24</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10.00</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2.71</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2.93</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2.56</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1.50</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0.97</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0.43</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1.29</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2.43</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1.43</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792" w:type="dxa"/>
            <w:vMerge w:val="continue"/>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2925" w:type="dxa"/>
            <w:shd w:val="clear" w:color="auto" w:fill="auto"/>
            <w:tcMar>
              <w:top w:w="15" w:type="dxa"/>
              <w:left w:w="15" w:type="dxa"/>
              <w:right w:w="15" w:type="dxa"/>
            </w:tcMar>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既有居住建筑节能绿色化改造面积不低于（万㎡）</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4.21</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18.12</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15.28</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12.39</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3.28</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13.34</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4.11</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6.59</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4.33</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2.96</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1.71</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0.84</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2.56</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6.25</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3.03</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792" w:type="dxa"/>
            <w:vMerge w:val="continue"/>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2925" w:type="dxa"/>
            <w:shd w:val="clear" w:color="auto" w:fill="auto"/>
            <w:tcMar>
              <w:top w:w="15" w:type="dxa"/>
              <w:left w:w="15" w:type="dxa"/>
              <w:right w:w="15" w:type="dxa"/>
            </w:tcMar>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既有公共建筑节能绿色化改造面积不低于（万㎡）</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5.75</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4.85</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3.03</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3.06</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6.41</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8.17</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6.95</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6.21</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4.49</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3.44</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1.69</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0.65</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1.75</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5.98</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2.55</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jc w:val="center"/>
        </w:trPr>
        <w:tc>
          <w:tcPr>
            <w:tcW w:w="792" w:type="dxa"/>
            <w:vMerge w:val="continue"/>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2925" w:type="dxa"/>
            <w:shd w:val="clear" w:color="auto" w:fill="auto"/>
            <w:tcMar>
              <w:top w:w="15" w:type="dxa"/>
              <w:left w:w="15" w:type="dxa"/>
              <w:right w:w="15" w:type="dxa"/>
            </w:tcMar>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新增建筑节能能力不低于（万吨标准煤）</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1.96</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1.33</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1.88</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3.86</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2.14</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0.78</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4.68</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5.06</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4.41</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2.59</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1.47</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0.66</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1.95</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3.67</w:t>
            </w:r>
          </w:p>
        </w:tc>
        <w:tc>
          <w:tcPr>
            <w:tcW w:w="667" w:type="dxa"/>
            <w:shd w:val="clear" w:color="auto" w:fill="auto"/>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2.47</w:t>
            </w:r>
          </w:p>
        </w:tc>
        <w:tc>
          <w:tcPr>
            <w:tcW w:w="667"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792"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绿色</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建筑</w:t>
            </w:r>
          </w:p>
        </w:tc>
        <w:tc>
          <w:tcPr>
            <w:tcW w:w="29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新建建筑在设计阶段绿色建筑标准执行率（%）</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99</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99</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99</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99</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99</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99</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99</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99</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99</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99</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99</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99</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99</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99</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99</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792"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p>
        </w:tc>
        <w:tc>
          <w:tcPr>
            <w:tcW w:w="29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竣工建筑中绿色建筑占比不低于（%）</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92"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p>
        </w:tc>
        <w:tc>
          <w:tcPr>
            <w:tcW w:w="29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竣工绿色建筑面积不低于（万㎡）</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84.36</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57.50</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81.17</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166.52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92.34</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33.74</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201.48</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217.90</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190.12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111.67</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63.25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28.25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83.80</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158.11</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106.30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1676.51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792"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p>
        </w:tc>
        <w:tc>
          <w:tcPr>
            <w:tcW w:w="29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竣工星级绿色建筑面积不低于（万㎡）</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12.48</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8.5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12.01</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24.63</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13.66</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4.99</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29.80</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32.23</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28.12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16.52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9.36</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4.18</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12.40</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23.39</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15.72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792"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p>
        </w:tc>
        <w:tc>
          <w:tcPr>
            <w:tcW w:w="29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星级绿色建筑标识项不少于（个）                             *其中高星级绿色建筑标识项不少于1个</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792"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p>
        </w:tc>
        <w:tc>
          <w:tcPr>
            <w:tcW w:w="29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在建工程新型墙体材料应用率（%）</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792"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p>
        </w:tc>
        <w:tc>
          <w:tcPr>
            <w:tcW w:w="29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新建建筑绿色建材应用比例不低于（%） ；</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*其中政府投资项目和大型公共建筑应用比例不低于50%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792"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装配式</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建筑</w:t>
            </w:r>
          </w:p>
        </w:tc>
        <w:tc>
          <w:tcPr>
            <w:tcW w:w="29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新建装配式建筑面积不低于（万㎡）</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110</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55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115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90</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135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210</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310</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210</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60</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130</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175</w:t>
            </w:r>
          </w:p>
        </w:tc>
        <w:tc>
          <w:tcPr>
            <w:tcW w:w="6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792"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p>
        </w:tc>
        <w:tc>
          <w:tcPr>
            <w:tcW w:w="29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装配式建筑工程示范项目不少于（个）</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center"/>
        </w:trPr>
        <w:tc>
          <w:tcPr>
            <w:tcW w:w="792"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预拌</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混凝土（砂浆）</w:t>
            </w:r>
          </w:p>
        </w:tc>
        <w:tc>
          <w:tcPr>
            <w:tcW w:w="29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预拌混凝土应用率（%）</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92"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p>
        </w:tc>
        <w:tc>
          <w:tcPr>
            <w:tcW w:w="29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预拌砂浆应用率（%）</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95</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100</w:t>
            </w:r>
          </w:p>
        </w:tc>
        <w:tc>
          <w:tcPr>
            <w:tcW w:w="66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rPr>
      </w:pPr>
    </w:p>
    <w:sectPr>
      <w:footerReference r:id="rId5" w:type="first"/>
      <w:footerReference r:id="rId4" w:type="default"/>
      <w:type w:val="continuous"/>
      <w:pgSz w:w="16838" w:h="11906" w:orient="landscape"/>
      <w:pgMar w:top="2098" w:right="1474" w:bottom="1984" w:left="1587"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ins w:id="0" w:author="吴佳丽" w:date="2024-04-08T10:29:08Z">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ins w:id="2" w:author="吴佳丽" w:date="2024-04-08T10:29:08Z">
                              <w:r>
                                <w:rPr/>
                                <w:fldChar w:fldCharType="begin"/>
                              </w:r>
                            </w:ins>
                            <w:ins w:id="3" w:author="吴佳丽" w:date="2024-04-08T10:29:08Z">
                              <w:r>
                                <w:rPr/>
                                <w:instrText xml:space="preserve"> PAGE  \* MERGEFORMAT </w:instrText>
                              </w:r>
                            </w:ins>
                            <w:ins w:id="4" w:author="吴佳丽" w:date="2024-04-08T10:29:08Z">
                              <w:r>
                                <w:rPr/>
                                <w:fldChar w:fldCharType="separate"/>
                              </w:r>
                            </w:ins>
                            <w:ins w:id="5" w:author="吴佳丽" w:date="2024-04-08T10:29:08Z">
                              <w:r>
                                <w:rPr/>
                                <w:t>1</w:t>
                              </w:r>
                            </w:ins>
                            <w:ins w:id="6" w:author="吴佳丽" w:date="2024-04-08T10:29:08Z">
                              <w:r>
                                <w:rPr/>
                                <w:fldChar w:fldCharType="end"/>
                              </w:r>
                            </w:ins>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4Ci0krgEAAEsD&#10;AAAOAAAAAAAAAAEAIAAAAB4BAABkcnMvZTJvRG9jLnhtbFBLBQYAAAAABgAGAFkBAAA+BQAAAAA=&#10;">
                <v:fill on="f" focussize="0,0"/>
                <v:stroke on="f"/>
                <v:imagedata o:title=""/>
                <o:lock v:ext="edit" aspectratio="f"/>
                <v:textbox inset="0mm,0mm,0mm,0mm" style="mso-fit-shape-to-text:t;">
                  <w:txbxContent>
                    <w:p>
                      <w:pPr>
                        <w:pStyle w:val="6"/>
                      </w:pPr>
                      <w:ins w:id="7" w:author="吴佳丽" w:date="2024-04-08T10:29:08Z">
                        <w:r>
                          <w:rPr/>
                          <w:fldChar w:fldCharType="begin"/>
                        </w:r>
                      </w:ins>
                      <w:ins w:id="8" w:author="吴佳丽" w:date="2024-04-08T10:29:08Z">
                        <w:r>
                          <w:rPr/>
                          <w:instrText xml:space="preserve"> PAGE  \* MERGEFORMAT </w:instrText>
                        </w:r>
                      </w:ins>
                      <w:ins w:id="9" w:author="吴佳丽" w:date="2024-04-08T10:29:08Z">
                        <w:r>
                          <w:rPr/>
                          <w:fldChar w:fldCharType="separate"/>
                        </w:r>
                      </w:ins>
                      <w:ins w:id="10" w:author="吴佳丽" w:date="2024-04-08T10:29:08Z">
                        <w:r>
                          <w:rPr/>
                          <w:t>1</w:t>
                        </w:r>
                      </w:ins>
                      <w:ins w:id="11" w:author="吴佳丽" w:date="2024-04-08T10:29:08Z">
                        <w:r>
                          <w:rPr/>
                          <w:fldChar w:fldCharType="end"/>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ins w:id="12" w:author="吴佳丽" w:date="2024-04-08T10:29:08Z">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ins w:id="14" w:author="吴佳丽" w:date="2024-04-08T10:29:08Z">
                              <w:r>
                                <w:rPr/>
                                <w:fldChar w:fldCharType="begin"/>
                              </w:r>
                            </w:ins>
                            <w:ins w:id="15" w:author="吴佳丽" w:date="2024-04-08T10:29:08Z">
                              <w:r>
                                <w:rPr/>
                                <w:instrText xml:space="preserve"> PAGE  \* MERGEFORMAT </w:instrText>
                              </w:r>
                            </w:ins>
                            <w:ins w:id="16" w:author="吴佳丽" w:date="2024-04-08T10:29:08Z">
                              <w:r>
                                <w:rPr/>
                                <w:fldChar w:fldCharType="separate"/>
                              </w:r>
                            </w:ins>
                            <w:ins w:id="17" w:author="吴佳丽" w:date="2024-04-08T10:29:08Z">
                              <w:r>
                                <w:rPr/>
                                <w:t>8</w:t>
                              </w:r>
                            </w:ins>
                            <w:ins w:id="18" w:author="吴佳丽" w:date="2024-04-08T10:29:08Z">
                              <w:r>
                                <w:rPr/>
                                <w:fldChar w:fldCharType="end"/>
                              </w:r>
                            </w:ins>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orUkqtAQAASwMA&#10;AA4AAAAAAAAAAQAgAAAAHgEAAGRycy9lMm9Eb2MueG1sUEsFBgAAAAAGAAYAWQEAAD0FAAAAAA==&#10;">
                <v:fill on="f" focussize="0,0"/>
                <v:stroke on="f"/>
                <v:imagedata o:title=""/>
                <o:lock v:ext="edit" aspectratio="f"/>
                <v:textbox inset="0mm,0mm,0mm,0mm" style="mso-fit-shape-to-text:t;">
                  <w:txbxContent>
                    <w:p>
                      <w:pPr>
                        <w:pStyle w:val="6"/>
                      </w:pPr>
                      <w:ins w:id="19" w:author="吴佳丽" w:date="2024-04-08T10:29:08Z">
                        <w:r>
                          <w:rPr/>
                          <w:fldChar w:fldCharType="begin"/>
                        </w:r>
                      </w:ins>
                      <w:ins w:id="20" w:author="吴佳丽" w:date="2024-04-08T10:29:08Z">
                        <w:r>
                          <w:rPr/>
                          <w:instrText xml:space="preserve"> PAGE  \* MERGEFORMAT </w:instrText>
                        </w:r>
                      </w:ins>
                      <w:ins w:id="21" w:author="吴佳丽" w:date="2024-04-08T10:29:08Z">
                        <w:r>
                          <w:rPr/>
                          <w:fldChar w:fldCharType="separate"/>
                        </w:r>
                      </w:ins>
                      <w:ins w:id="22" w:author="吴佳丽" w:date="2024-04-08T10:29:08Z">
                        <w:r>
                          <w:rPr/>
                          <w:t>8</w:t>
                        </w:r>
                      </w:ins>
                      <w:ins w:id="23" w:author="吴佳丽" w:date="2024-04-08T10:29:08Z">
                        <w:r>
                          <w:rPr/>
                          <w:fldChar w:fldCharType="end"/>
                        </w:r>
                      </w:ins>
                    </w:p>
                  </w:txbxContent>
                </v:textbox>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ins w:id="24" w:author="吴佳丽" w:date="2024-04-08T10:29:08Z">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ins w:id="26" w:author="吴佳丽" w:date="2024-04-08T10:29:08Z">
                              <w:r>
                                <w:rPr/>
                                <w:fldChar w:fldCharType="begin"/>
                              </w:r>
                            </w:ins>
                            <w:ins w:id="27" w:author="吴佳丽" w:date="2024-04-08T10:29:08Z">
                              <w:r>
                                <w:rPr/>
                                <w:instrText xml:space="preserve"> PAGE  \* MERGEFORMAT </w:instrText>
                              </w:r>
                            </w:ins>
                            <w:ins w:id="28" w:author="吴佳丽" w:date="2024-04-08T10:29:08Z">
                              <w:r>
                                <w:rPr/>
                                <w:fldChar w:fldCharType="separate"/>
                              </w:r>
                            </w:ins>
                            <w:ins w:id="29" w:author="吴佳丽" w:date="2024-04-08T10:29:08Z">
                              <w:r>
                                <w:rPr/>
                                <w:t>7</w:t>
                              </w:r>
                            </w:ins>
                            <w:ins w:id="30" w:author="吴佳丽" w:date="2024-04-08T10:29:08Z">
                              <w:r>
                                <w:rPr/>
                                <w:fldChar w:fldCharType="end"/>
                              </w:r>
                            </w:ins>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p+L6rgEAAEwD&#10;AAAOAAAAAAAAAAEAIAAAAB4BAABkcnMvZTJvRG9jLnhtbFBLBQYAAAAABgAGAFkBAAA+BQAAAAA=&#10;">
                <v:fill on="f" focussize="0,0"/>
                <v:stroke on="f"/>
                <v:imagedata o:title=""/>
                <o:lock v:ext="edit" aspectratio="f"/>
                <v:textbox inset="0mm,0mm,0mm,0mm" style="mso-fit-shape-to-text:t;">
                  <w:txbxContent>
                    <w:p>
                      <w:pPr>
                        <w:pStyle w:val="6"/>
                      </w:pPr>
                      <w:ins w:id="31" w:author="吴佳丽" w:date="2024-04-08T10:29:08Z">
                        <w:r>
                          <w:rPr/>
                          <w:fldChar w:fldCharType="begin"/>
                        </w:r>
                      </w:ins>
                      <w:ins w:id="32" w:author="吴佳丽" w:date="2024-04-08T10:29:08Z">
                        <w:r>
                          <w:rPr/>
                          <w:instrText xml:space="preserve"> PAGE  \* MERGEFORMAT </w:instrText>
                        </w:r>
                      </w:ins>
                      <w:ins w:id="33" w:author="吴佳丽" w:date="2024-04-08T10:29:08Z">
                        <w:r>
                          <w:rPr/>
                          <w:fldChar w:fldCharType="separate"/>
                        </w:r>
                      </w:ins>
                      <w:ins w:id="34" w:author="吴佳丽" w:date="2024-04-08T10:29:08Z">
                        <w:r>
                          <w:rPr/>
                          <w:t>7</w:t>
                        </w:r>
                      </w:ins>
                      <w:ins w:id="35" w:author="吴佳丽" w:date="2024-04-08T10:29:08Z">
                        <w:r>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佳丽">
    <w15:presenceInfo w15:providerId="None" w15:userId="吴佳丽"/>
  </w15:person>
  <w15:person w15:author="BBO">
    <w15:presenceInfo w15:providerId="WPS Office" w15:userId="141628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1"/>
  <w:bordersDoNotSurroundFooter w:val="1"/>
  <w:trackRevisions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F0513"/>
    <w:rsid w:val="0794461B"/>
    <w:rsid w:val="0C312426"/>
    <w:rsid w:val="10D85456"/>
    <w:rsid w:val="186438E6"/>
    <w:rsid w:val="1ABD184A"/>
    <w:rsid w:val="255269B4"/>
    <w:rsid w:val="26DD49F2"/>
    <w:rsid w:val="29BA6253"/>
    <w:rsid w:val="2B6F0513"/>
    <w:rsid w:val="32AE29AD"/>
    <w:rsid w:val="3E302555"/>
    <w:rsid w:val="3E807582"/>
    <w:rsid w:val="3F0F00EA"/>
    <w:rsid w:val="45B70589"/>
    <w:rsid w:val="575ECD88"/>
    <w:rsid w:val="5B3E5300"/>
    <w:rsid w:val="5F1A66E2"/>
    <w:rsid w:val="6EFF1212"/>
    <w:rsid w:val="6F71036C"/>
    <w:rsid w:val="709D7672"/>
    <w:rsid w:val="72DA0233"/>
    <w:rsid w:val="7C1A33A7"/>
    <w:rsid w:val="AFFAAE01"/>
    <w:rsid w:val="F5AF4244"/>
    <w:rsid w:val="FBBBFB30"/>
    <w:rsid w:val="FFB75222"/>
    <w:rsid w:val="FFDF5D9C"/>
    <w:rsid w:val="FFF7D9CD"/>
    <w:rsid w:val="FFFDC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Normal Indent"/>
    <w:basedOn w:val="1"/>
    <w:qFormat/>
    <w:uiPriority w:val="0"/>
    <w:pPr>
      <w:ind w:firstLine="420" w:firstLineChars="200"/>
    </w:pPr>
    <w:rPr>
      <w:rFonts w:eastAsia="仿宋" w:cs="Times New Roman"/>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rFonts w:eastAsia="宋体" w:cs="Times New Roman"/>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112"/>
    <w:basedOn w:val="11"/>
    <w:qFormat/>
    <w:uiPriority w:val="0"/>
    <w:rPr>
      <w:rFonts w:hint="eastAsia" w:ascii="仿宋" w:hAnsi="仿宋" w:eastAsia="仿宋" w:cs="仿宋"/>
      <w:b/>
      <w:color w:val="000000"/>
      <w:sz w:val="18"/>
      <w:szCs w:val="18"/>
      <w:u w:val="none"/>
    </w:rPr>
  </w:style>
  <w:style w:type="character" w:customStyle="1" w:styleId="13">
    <w:name w:val="font01"/>
    <w:basedOn w:val="11"/>
    <w:qFormat/>
    <w:uiPriority w:val="0"/>
    <w:rPr>
      <w:rFonts w:hint="eastAsia" w:ascii="仿宋" w:hAnsi="仿宋" w:eastAsia="仿宋" w:cs="仿宋"/>
      <w:b/>
      <w:color w:val="FF0000"/>
      <w:sz w:val="18"/>
      <w:szCs w:val="18"/>
      <w:u w:val="none"/>
    </w:rPr>
  </w:style>
  <w:style w:type="character" w:customStyle="1" w:styleId="14">
    <w:name w:val="font41"/>
    <w:basedOn w:val="11"/>
    <w:qFormat/>
    <w:uiPriority w:val="0"/>
    <w:rPr>
      <w:rFonts w:hint="eastAsia" w:ascii="仿宋" w:hAnsi="仿宋" w:eastAsia="仿宋" w:cs="仿宋"/>
      <w:b/>
      <w:color w:val="000000"/>
      <w:sz w:val="18"/>
      <w:szCs w:val="18"/>
      <w:u w:val="none"/>
    </w:rPr>
  </w:style>
  <w:style w:type="character" w:customStyle="1" w:styleId="15">
    <w:name w:val="font11"/>
    <w:basedOn w:val="11"/>
    <w:qFormat/>
    <w:uiPriority w:val="0"/>
    <w:rPr>
      <w:rFonts w:hint="eastAsia" w:ascii="仿宋" w:hAnsi="仿宋" w:eastAsia="仿宋" w:cs="仿宋"/>
      <w:b/>
      <w:color w:val="000000"/>
      <w:sz w:val="18"/>
      <w:szCs w:val="18"/>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2022-12-08T01:34:00Z</dcterms:created>
  <dc:creator>Lenovo</dc:creator>
  <cp:lastModifiedBy>BBO</cp:lastModifiedBy>
  <cp:lastPrinted>2023-02-10T03:44:00Z</cp:lastPrinted>
  <dcterms:modified xsi:type="dcterms:W3CDTF">2024-04-08T07:31:15Z</dcterms:modified>
  <dc:title>关于印发《武汉市2024年建筑节能与绿色建筑发展目标任务及工作要点》的通知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文种">
    <vt:lpwstr>unknow</vt:lpwstr>
  </property>
  <property fmtid="{D5CDD505-2E9C-101B-9397-08002B2CF9AE}" pid="4" name="ICV">
    <vt:lpwstr>750B19EFCC2D3D45721812666D3250A0</vt:lpwstr>
  </property>
</Properties>
</file>