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3"/>
        <w:spacing w:before="144" w:beforeLines="60" w:after="144" w:afterLines="60" w:line="360" w:lineRule="auto"/>
        <w:rPr>
          <w:rFonts w:ascii="黑体" w:hAnsi="黑体" w:eastAsia="黑体" w:cs="黑体"/>
          <w:bCs/>
          <w:szCs w:val="52"/>
        </w:rPr>
      </w:pPr>
      <w:bookmarkStart w:id="0" w:name="_Toc28165"/>
      <w:bookmarkStart w:id="1" w:name="_Toc19985"/>
      <w:bookmarkStart w:id="2" w:name="_Toc30832"/>
    </w:p>
    <w:p>
      <w:pPr>
        <w:pStyle w:val="183"/>
        <w:spacing w:before="144" w:beforeLines="60" w:after="144" w:afterLines="60" w:line="360" w:lineRule="auto"/>
        <w:rPr>
          <w:rFonts w:ascii="黑体" w:hAnsi="黑体" w:eastAsia="黑体" w:cs="黑体"/>
          <w:bCs/>
          <w:szCs w:val="52"/>
        </w:rPr>
      </w:pPr>
    </w:p>
    <w:p>
      <w:pPr>
        <w:pStyle w:val="183"/>
        <w:spacing w:before="144" w:beforeLines="60" w:after="144" w:afterLines="60" w:line="360" w:lineRule="auto"/>
        <w:rPr>
          <w:rFonts w:hint="eastAsia" w:ascii="宋体" w:hAnsi="宋体" w:eastAsia="宋体" w:cs="黑体"/>
          <w:b/>
          <w:sz w:val="44"/>
          <w:szCs w:val="44"/>
        </w:rPr>
      </w:pPr>
      <w:r>
        <w:rPr>
          <w:rFonts w:hint="eastAsia" w:ascii="宋体" w:hAnsi="宋体" w:eastAsia="宋体" w:cs="黑体"/>
          <w:b/>
          <w:sz w:val="44"/>
          <w:szCs w:val="44"/>
        </w:rPr>
        <w:t>武汉市新建适老化住宅和小区建设技术</w:t>
      </w:r>
    </w:p>
    <w:p>
      <w:pPr>
        <w:pStyle w:val="183"/>
        <w:spacing w:before="144" w:beforeLines="60" w:after="144" w:afterLines="60" w:line="360" w:lineRule="auto"/>
        <w:rPr>
          <w:rFonts w:ascii="宋体" w:hAnsi="宋体" w:eastAsia="宋体" w:cs="黑体"/>
          <w:b/>
          <w:sz w:val="44"/>
          <w:szCs w:val="44"/>
        </w:rPr>
      </w:pPr>
      <w:r>
        <w:rPr>
          <w:rFonts w:hint="eastAsia" w:ascii="宋体" w:hAnsi="宋体" w:eastAsia="宋体" w:cs="黑体"/>
          <w:b/>
          <w:sz w:val="44"/>
          <w:szCs w:val="44"/>
        </w:rPr>
        <w:t>指南</w:t>
      </w:r>
    </w:p>
    <w:p>
      <w:pPr>
        <w:pStyle w:val="183"/>
        <w:spacing w:before="144" w:beforeLines="60" w:after="144" w:afterLines="60" w:line="360" w:lineRule="auto"/>
        <w:rPr>
          <w:rFonts w:ascii="黑体" w:hAnsi="黑体" w:eastAsia="黑体" w:cs="黑体"/>
          <w:kern w:val="2"/>
          <w:sz w:val="32"/>
          <w:szCs w:val="32"/>
          <w:lang w:val="en-US"/>
        </w:rPr>
      </w:pPr>
      <w:r>
        <w:rPr>
          <w:rFonts w:hint="eastAsia" w:ascii="黑体" w:hAnsi="黑体" w:eastAsia="黑体" w:cs="黑体"/>
          <w:kern w:val="2"/>
          <w:sz w:val="32"/>
          <w:szCs w:val="32"/>
          <w:lang w:val="en-US"/>
        </w:rPr>
        <w:t>（</w:t>
      </w:r>
      <w:r>
        <w:rPr>
          <w:rFonts w:hint="eastAsia" w:ascii="黑体" w:hAnsi="黑体" w:eastAsia="黑体" w:cs="黑体"/>
          <w:kern w:val="2"/>
          <w:sz w:val="32"/>
          <w:szCs w:val="32"/>
          <w:lang w:val="en-US" w:eastAsia="zh-CN"/>
        </w:rPr>
        <w:t>试行</w:t>
      </w:r>
      <w:r>
        <w:rPr>
          <w:rFonts w:hint="eastAsia" w:ascii="黑体" w:hAnsi="黑体" w:eastAsia="黑体" w:cs="黑体"/>
          <w:kern w:val="2"/>
          <w:sz w:val="32"/>
          <w:szCs w:val="32"/>
          <w:lang w:val="en-US"/>
        </w:rPr>
        <w:t>）</w:t>
      </w:r>
    </w:p>
    <w:p>
      <w:pPr>
        <w:pStyle w:val="183"/>
        <w:spacing w:before="144" w:beforeLines="60" w:after="144" w:afterLines="60" w:line="360" w:lineRule="auto"/>
        <w:jc w:val="both"/>
        <w:rPr>
          <w:rFonts w:ascii="宋体" w:hAnsi="宋体" w:eastAsia="宋体" w:cs="宋体"/>
          <w:w w:val="125"/>
          <w:kern w:val="2"/>
          <w:sz w:val="32"/>
          <w:szCs w:val="32"/>
          <w:lang w:val="en-US"/>
        </w:rPr>
      </w:pPr>
    </w:p>
    <w:p>
      <w:pPr>
        <w:pStyle w:val="183"/>
        <w:spacing w:before="144" w:beforeLines="60" w:after="144" w:afterLines="60" w:line="360" w:lineRule="auto"/>
        <w:jc w:val="both"/>
        <w:rPr>
          <w:rFonts w:ascii="宋体" w:hAnsi="宋体" w:eastAsia="宋体" w:cs="宋体"/>
          <w:w w:val="125"/>
          <w:kern w:val="2"/>
          <w:sz w:val="32"/>
          <w:szCs w:val="32"/>
          <w:lang w:val="en-US"/>
        </w:rPr>
      </w:pPr>
    </w:p>
    <w:p>
      <w:pPr>
        <w:pStyle w:val="183"/>
        <w:spacing w:before="144" w:beforeLines="60" w:after="144" w:afterLines="60" w:line="360" w:lineRule="auto"/>
        <w:jc w:val="both"/>
        <w:rPr>
          <w:rFonts w:ascii="宋体" w:hAnsi="宋体" w:eastAsia="宋体" w:cs="宋体"/>
          <w:w w:val="125"/>
          <w:kern w:val="2"/>
          <w:sz w:val="32"/>
          <w:szCs w:val="32"/>
          <w:lang w:val="en-US"/>
        </w:rPr>
      </w:pPr>
    </w:p>
    <w:p>
      <w:pPr>
        <w:pStyle w:val="183"/>
        <w:spacing w:before="144" w:beforeLines="60" w:after="144" w:afterLines="60" w:line="360" w:lineRule="auto"/>
        <w:jc w:val="both"/>
        <w:rPr>
          <w:rFonts w:ascii="宋体" w:hAnsi="宋体" w:eastAsia="宋体" w:cs="宋体"/>
          <w:w w:val="125"/>
          <w:kern w:val="2"/>
          <w:sz w:val="32"/>
          <w:szCs w:val="32"/>
          <w:lang w:val="en-US"/>
        </w:rPr>
      </w:pPr>
    </w:p>
    <w:p>
      <w:pPr>
        <w:pStyle w:val="183"/>
        <w:spacing w:before="144" w:beforeLines="60" w:after="144" w:afterLines="60" w:line="360" w:lineRule="auto"/>
        <w:jc w:val="both"/>
        <w:rPr>
          <w:rFonts w:ascii="宋体" w:hAnsi="宋体" w:eastAsia="宋体" w:cs="宋体"/>
          <w:w w:val="125"/>
          <w:kern w:val="2"/>
          <w:sz w:val="32"/>
          <w:szCs w:val="32"/>
          <w:lang w:val="en-US"/>
        </w:rPr>
      </w:pPr>
    </w:p>
    <w:p>
      <w:pPr>
        <w:pStyle w:val="183"/>
        <w:spacing w:before="144" w:beforeLines="60" w:after="144" w:afterLines="60" w:line="360" w:lineRule="auto"/>
        <w:jc w:val="both"/>
        <w:rPr>
          <w:rFonts w:ascii="宋体" w:hAnsi="宋体" w:eastAsia="宋体" w:cs="宋体"/>
          <w:w w:val="125"/>
          <w:kern w:val="2"/>
          <w:sz w:val="32"/>
          <w:szCs w:val="32"/>
          <w:lang w:val="en-US"/>
        </w:rPr>
      </w:pPr>
    </w:p>
    <w:p>
      <w:pPr>
        <w:pStyle w:val="183"/>
        <w:spacing w:before="144" w:beforeLines="60" w:after="144" w:afterLines="60" w:line="360" w:lineRule="auto"/>
        <w:jc w:val="both"/>
        <w:rPr>
          <w:rFonts w:ascii="宋体" w:hAnsi="宋体" w:eastAsia="宋体" w:cs="宋体"/>
          <w:w w:val="125"/>
          <w:kern w:val="2"/>
          <w:sz w:val="32"/>
          <w:szCs w:val="32"/>
          <w:lang w:val="en-US"/>
        </w:rPr>
      </w:pPr>
    </w:p>
    <w:p>
      <w:pPr>
        <w:pStyle w:val="183"/>
        <w:spacing w:before="144" w:beforeLines="60" w:after="144" w:afterLines="60" w:line="360" w:lineRule="auto"/>
        <w:jc w:val="both"/>
        <w:rPr>
          <w:rFonts w:ascii="宋体" w:hAnsi="宋体" w:eastAsia="宋体" w:cs="宋体"/>
          <w:w w:val="125"/>
          <w:kern w:val="2"/>
          <w:sz w:val="32"/>
          <w:szCs w:val="32"/>
          <w:lang w:val="en-US"/>
        </w:rPr>
      </w:pPr>
    </w:p>
    <w:p>
      <w:pPr>
        <w:pStyle w:val="183"/>
        <w:spacing w:before="144" w:beforeLines="60" w:after="144" w:afterLines="60" w:line="600" w:lineRule="exact"/>
        <w:jc w:val="both"/>
        <w:rPr>
          <w:rFonts w:hint="eastAsia" w:ascii="宋体" w:hAnsi="宋体" w:eastAsia="宋体" w:cs="宋体"/>
          <w:b/>
          <w:bCs/>
          <w:w w:val="125"/>
          <w:kern w:val="2"/>
          <w:sz w:val="32"/>
          <w:szCs w:val="32"/>
          <w:lang w:val="en-US" w:eastAsia="zh-CN"/>
        </w:rPr>
      </w:pPr>
    </w:p>
    <w:p>
      <w:pPr>
        <w:pStyle w:val="183"/>
        <w:spacing w:before="144" w:beforeLines="60" w:after="144" w:afterLines="60" w:line="600" w:lineRule="exact"/>
        <w:rPr>
          <w:rFonts w:hint="eastAsia" w:ascii="宋体" w:eastAsia="宋体"/>
          <w:b/>
          <w:bCs/>
          <w:sz w:val="32"/>
          <w:szCs w:val="32"/>
        </w:rPr>
      </w:pPr>
      <w:r>
        <w:rPr>
          <w:rFonts w:hint="eastAsia" w:ascii="宋体" w:eastAsia="宋体"/>
          <w:b/>
          <w:bCs/>
          <w:sz w:val="32"/>
          <w:szCs w:val="32"/>
        </w:rPr>
        <w:t>武汉市城乡建设局</w:t>
      </w:r>
    </w:p>
    <w:p>
      <w:pPr>
        <w:pStyle w:val="183"/>
        <w:spacing w:before="144" w:beforeLines="60" w:after="144" w:afterLines="60" w:line="600" w:lineRule="exact"/>
        <w:rPr>
          <w:rFonts w:hint="eastAsia" w:ascii="宋体" w:hAnsi="宋体" w:eastAsia="宋体" w:cs="宋体"/>
          <w:color w:val="auto"/>
          <w:sz w:val="24"/>
          <w:szCs w:val="24"/>
          <w:lang w:val="en-US" w:eastAsia="zh-CN"/>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r>
        <w:rPr>
          <w:rFonts w:hint="eastAsia" w:ascii="宋体" w:eastAsia="宋体"/>
          <w:b/>
          <w:bCs/>
          <w:sz w:val="32"/>
          <w:szCs w:val="32"/>
        </w:rPr>
        <w:t>2</w:t>
      </w:r>
      <w:r>
        <w:rPr>
          <w:rFonts w:ascii="宋体" w:eastAsia="宋体"/>
          <w:b/>
          <w:bCs/>
          <w:sz w:val="32"/>
          <w:szCs w:val="32"/>
        </w:rPr>
        <w:t>023</w:t>
      </w:r>
      <w:r>
        <w:rPr>
          <w:rFonts w:hint="eastAsia" w:ascii="宋体" w:eastAsia="宋体"/>
          <w:b/>
          <w:bCs/>
          <w:sz w:val="32"/>
          <w:szCs w:val="32"/>
        </w:rPr>
        <w:t>年1</w:t>
      </w:r>
      <w:bookmarkEnd w:id="0"/>
      <w:bookmarkEnd w:id="1"/>
      <w:bookmarkEnd w:id="2"/>
      <w:r>
        <w:rPr>
          <w:rFonts w:hint="eastAsia" w:ascii="宋体" w:eastAsia="宋体"/>
          <w:b/>
          <w:bCs/>
          <w:sz w:val="32"/>
          <w:szCs w:val="32"/>
          <w:lang w:val="en-US" w:eastAsia="zh-CN"/>
        </w:rPr>
        <w:t>2</w:t>
      </w:r>
      <w:bookmarkStart w:id="47" w:name="_GoBack"/>
      <w:bookmarkEnd w:id="47"/>
    </w:p>
    <w:p>
      <w:pPr>
        <w:widowControl/>
        <w:jc w:val="both"/>
        <w:rPr>
          <w:rFonts w:hint="default" w:ascii="仿宋_GB2312" w:hAnsi="黑体" w:eastAsia="仿宋_GB2312" w:cs="宋体"/>
          <w:sz w:val="32"/>
          <w:szCs w:val="32"/>
          <w:lang w:val="en-US" w:eastAsia="zh-CN"/>
        </w:rPr>
      </w:pPr>
      <w:r>
        <w:rPr>
          <w:rFonts w:hint="eastAsia" w:ascii="仿宋_GB2312" w:hAnsi="黑体" w:eastAsia="仿宋_GB2312" w:cs="宋体"/>
          <w:sz w:val="32"/>
          <w:szCs w:val="32"/>
          <w:lang w:val="en-US" w:eastAsia="zh-CN"/>
        </w:rPr>
        <w:t xml:space="preserve">                 </w:t>
      </w:r>
      <w:r>
        <w:rPr>
          <w:rFonts w:hint="eastAsia" w:ascii="仿宋_GB2312" w:hAnsi="黑体" w:eastAsia="仿宋_GB2312" w:cs="宋体"/>
          <w:sz w:val="44"/>
          <w:szCs w:val="44"/>
          <w:lang w:val="en-US" w:eastAsia="zh-CN"/>
        </w:rPr>
        <w:t xml:space="preserve"> </w:t>
      </w:r>
      <w:r>
        <w:rPr>
          <w:rFonts w:hint="eastAsia" w:ascii="宋体" w:hAnsi="宋体" w:eastAsia="宋体" w:cs="黑体"/>
          <w:b/>
          <w:kern w:val="0"/>
          <w:sz w:val="44"/>
          <w:szCs w:val="44"/>
          <w:lang w:val="en-US" w:eastAsia="zh-CN" w:bidi="ar-SA"/>
        </w:rPr>
        <w:t xml:space="preserve">  前</w:t>
      </w:r>
      <w:r>
        <w:rPr>
          <w:rFonts w:hint="eastAsia" w:ascii="宋体" w:hAnsi="宋体" w:cs="黑体"/>
          <w:b/>
          <w:kern w:val="0"/>
          <w:sz w:val="44"/>
          <w:szCs w:val="44"/>
          <w:lang w:val="en-US" w:eastAsia="zh-CN" w:bidi="ar-SA"/>
        </w:rPr>
        <w:t xml:space="preserve">  </w:t>
      </w:r>
      <w:r>
        <w:rPr>
          <w:rFonts w:hint="eastAsia" w:ascii="宋体" w:hAnsi="宋体" w:eastAsia="宋体" w:cs="黑体"/>
          <w:b/>
          <w:kern w:val="0"/>
          <w:sz w:val="44"/>
          <w:szCs w:val="44"/>
          <w:lang w:val="en-US" w:eastAsia="zh-CN" w:bidi="ar-SA"/>
        </w:rPr>
        <w:t>言</w:t>
      </w:r>
    </w:p>
    <w:p>
      <w:pPr>
        <w:widowControl/>
        <w:ind w:firstLine="640" w:firstLineChars="200"/>
        <w:jc w:val="both"/>
        <w:rPr>
          <w:rFonts w:ascii="仿宋_GB2312" w:hAnsi="黑体" w:eastAsia="仿宋_GB2312" w:cs="宋体"/>
          <w:sz w:val="32"/>
          <w:szCs w:val="32"/>
          <w:lang w:val="zh-CN"/>
        </w:rPr>
      </w:pPr>
      <w:r>
        <w:rPr>
          <w:rFonts w:hint="eastAsia" w:ascii="仿宋_GB2312" w:hAnsi="黑体" w:eastAsia="仿宋_GB2312" w:cs="宋体"/>
          <w:sz w:val="32"/>
          <w:szCs w:val="32"/>
          <w:lang w:val="zh-CN"/>
        </w:rPr>
        <w:t>为积极应对人口老龄化，夯实居家养老基础地位，完善养老服务体系建设，致力打造“安全、舒适、便利、无障碍”的居家养老环境，全面贯彻落实《关于推进基本养老服务体系建设的实施方案》(鄂政办发[2023]3号文)、《推进适老化住房和社区建设改造工作的实施方案》等文件要求。武汉市城乡建设局组织编制了《武汉市新建适老化住宅和小区建设技术指南》（以下简称《指南》）。</w:t>
      </w:r>
    </w:p>
    <w:p>
      <w:pPr>
        <w:topLinePunct/>
        <w:autoSpaceDN w:val="0"/>
        <w:ind w:firstLine="640" w:firstLineChars="200"/>
        <w:rPr>
          <w:rFonts w:ascii="仿宋_GB2312" w:hAnsi="黑体" w:eastAsia="仿宋_GB2312" w:cs="宋体"/>
          <w:sz w:val="32"/>
          <w:szCs w:val="32"/>
          <w:lang w:val="zh-CN"/>
        </w:rPr>
      </w:pPr>
      <w:r>
        <w:rPr>
          <w:rFonts w:hint="eastAsia" w:ascii="仿宋_GB2312" w:hAnsi="黑体" w:eastAsia="仿宋_GB2312" w:cs="宋体"/>
          <w:sz w:val="32"/>
          <w:szCs w:val="32"/>
          <w:lang w:val="zh-CN"/>
        </w:rPr>
        <w:t>编制组经调查研究与实地考察，结合武汉市老龄化人口实际情况与养老服务体系建设情况，在广泛征求意见的基础上，组织专家评审定稿，编制了本《指南》。</w:t>
      </w:r>
    </w:p>
    <w:p>
      <w:pPr>
        <w:topLinePunct/>
        <w:autoSpaceDN w:val="0"/>
        <w:ind w:firstLine="640" w:firstLineChars="200"/>
        <w:rPr>
          <w:rFonts w:ascii="仿宋_GB2312" w:hAnsi="黑体" w:eastAsia="仿宋_GB2312" w:cs="宋体"/>
          <w:sz w:val="32"/>
          <w:szCs w:val="32"/>
          <w:lang w:val="zh-CN"/>
        </w:rPr>
      </w:pPr>
      <w:r>
        <w:rPr>
          <w:rFonts w:hint="eastAsia" w:ascii="仿宋_GB2312" w:hAnsi="黑体" w:eastAsia="仿宋_GB2312" w:cs="宋体"/>
          <w:sz w:val="32"/>
          <w:szCs w:val="32"/>
          <w:lang w:val="zh-CN"/>
        </w:rPr>
        <w:t>本指南共分为7章。主要包括：总则、基本要求、小区公共环境、公共部分、套内空间、小区服务、信息辅助智能化。</w:t>
      </w:r>
    </w:p>
    <w:p>
      <w:pPr>
        <w:topLinePunct/>
        <w:autoSpaceDN w:val="0"/>
        <w:ind w:firstLine="640" w:firstLineChars="200"/>
        <w:rPr>
          <w:rFonts w:ascii="仿宋_GB2312" w:hAnsi="黑体" w:eastAsia="仿宋_GB2312" w:cs="宋体"/>
          <w:sz w:val="32"/>
          <w:szCs w:val="32"/>
          <w:lang w:val="zh-CN"/>
        </w:rPr>
      </w:pPr>
      <w:r>
        <w:rPr>
          <w:rFonts w:hint="eastAsia" w:ascii="仿宋_GB2312" w:eastAsia="仿宋_GB2312"/>
          <w:sz w:val="32"/>
        </w:rPr>
        <w:t>各单位和个人在执行过程中，如发现需要修改或补充之处，请将建议和有关资料发送至湖北省建筑设计院有限公司（</w:t>
      </w:r>
      <w:r>
        <w:rPr>
          <w:rFonts w:hint="eastAsia" w:ascii="仿宋_GB2312" w:eastAsia="仿宋_GB2312"/>
          <w:spacing w:val="-9"/>
          <w:sz w:val="32"/>
        </w:rPr>
        <w:t>地址：武汉市武昌区中南一路</w:t>
      </w:r>
      <w:r>
        <w:rPr>
          <w:rFonts w:ascii="仿宋_GB2312" w:eastAsia="仿宋_GB2312"/>
          <w:sz w:val="32"/>
        </w:rPr>
        <w:t>66</w:t>
      </w:r>
      <w:r>
        <w:rPr>
          <w:rFonts w:hint="eastAsia" w:ascii="仿宋_GB2312" w:eastAsia="仿宋_GB2312"/>
          <w:spacing w:val="-17"/>
          <w:sz w:val="32"/>
        </w:rPr>
        <w:t>号，邮编</w:t>
      </w:r>
      <w:r>
        <w:rPr>
          <w:rFonts w:hint="eastAsia" w:ascii="仿宋_GB2312" w:eastAsia="仿宋_GB2312"/>
          <w:sz w:val="32"/>
        </w:rPr>
        <w:t>：430071，</w:t>
      </w:r>
      <w:r>
        <w:fldChar w:fldCharType="begin"/>
      </w:r>
      <w:r>
        <w:instrText xml:space="preserve"> HYPERLINK "mailto:csadi_hpd@outlook.com" \h </w:instrText>
      </w:r>
      <w:r>
        <w:fldChar w:fldCharType="separate"/>
      </w:r>
      <w:r>
        <w:rPr>
          <w:rFonts w:hint="eastAsia" w:ascii="仿宋_GB2312" w:eastAsia="仿宋_GB2312"/>
          <w:spacing w:val="-1"/>
          <w:sz w:val="32"/>
        </w:rPr>
        <w:t>Email：</w:t>
      </w:r>
      <w:r>
        <w:rPr>
          <w:rFonts w:hint="eastAsia" w:ascii="仿宋_GB2312" w:eastAsia="仿宋_GB2312"/>
          <w:spacing w:val="-1"/>
          <w:sz w:val="32"/>
        </w:rPr>
        <w:fldChar w:fldCharType="end"/>
      </w:r>
      <w:r>
        <w:rPr>
          <w:rFonts w:ascii="宋体" w:hAnsi="宋体"/>
          <w:spacing w:val="-1"/>
          <w:sz w:val="32"/>
        </w:rPr>
        <w:t>hbadi_znb@foxmail.com</w:t>
      </w:r>
      <w:r>
        <w:rPr>
          <w:rFonts w:hint="eastAsia" w:ascii="仿宋_GB2312" w:eastAsia="仿宋_GB2312"/>
          <w:spacing w:val="-1"/>
          <w:sz w:val="32"/>
        </w:rPr>
        <w:t>）以供修订时参考。</w:t>
      </w:r>
    </w:p>
    <w:p>
      <w:pPr>
        <w:widowControl/>
        <w:rPr>
          <w:rFonts w:ascii="宋体" w:hAnsi="宋体" w:cs="宋体"/>
          <w:sz w:val="48"/>
          <w:szCs w:val="48"/>
          <w:lang w:val="zh-CN"/>
        </w:rPr>
      </w:pPr>
      <w:r>
        <w:rPr>
          <w:rFonts w:ascii="宋体" w:hAnsi="宋体" w:cs="宋体"/>
          <w:sz w:val="48"/>
          <w:szCs w:val="48"/>
          <w:lang w:val="zh-CN"/>
        </w:rPr>
        <w:br w:type="page"/>
      </w:r>
    </w:p>
    <w:p>
      <w:pPr>
        <w:widowControl/>
        <w:rPr>
          <w:rFonts w:ascii="仿宋_GB2312" w:hAnsi="宋体" w:eastAsia="仿宋_GB2312" w:cs="宋体"/>
          <w:b/>
          <w:bCs/>
          <w:sz w:val="30"/>
          <w:szCs w:val="30"/>
          <w:lang w:val="zh-CN"/>
        </w:rPr>
      </w:pPr>
      <w:r>
        <w:rPr>
          <w:rFonts w:hint="eastAsia" w:ascii="仿宋_GB2312" w:hAnsi="宋体" w:eastAsia="仿宋_GB2312" w:cs="宋体"/>
          <w:b/>
          <w:bCs/>
          <w:sz w:val="30"/>
          <w:szCs w:val="30"/>
          <w:lang w:val="zh-CN"/>
        </w:rPr>
        <w:t>主编单位：</w:t>
      </w:r>
    </w:p>
    <w:p>
      <w:pPr>
        <w:widowControl/>
        <w:rPr>
          <w:rFonts w:ascii="仿宋_GB2312" w:hAnsi="宋体" w:eastAsia="仿宋_GB2312" w:cs="宋体"/>
          <w:sz w:val="30"/>
          <w:szCs w:val="30"/>
          <w:lang w:val="zh-CN"/>
        </w:rPr>
      </w:pPr>
      <w:r>
        <w:rPr>
          <w:rFonts w:hint="eastAsia" w:ascii="仿宋_GB2312" w:hAnsi="宋体" w:eastAsia="仿宋_GB2312" w:cs="宋体"/>
          <w:sz w:val="30"/>
          <w:szCs w:val="30"/>
          <w:lang w:val="zh-CN"/>
        </w:rPr>
        <w:t>湖北省建筑设计院有限公司</w:t>
      </w:r>
    </w:p>
    <w:p>
      <w:pPr>
        <w:widowControl/>
        <w:rPr>
          <w:rFonts w:ascii="仿宋_GB2312" w:hAnsi="宋体" w:eastAsia="仿宋_GB2312" w:cs="宋体"/>
          <w:sz w:val="30"/>
          <w:szCs w:val="30"/>
          <w:lang w:val="zh-CN"/>
        </w:rPr>
      </w:pPr>
      <w:r>
        <w:rPr>
          <w:rFonts w:hint="eastAsia" w:ascii="仿宋_GB2312" w:hAnsi="宋体" w:eastAsia="仿宋_GB2312" w:cs="宋体"/>
          <w:sz w:val="30"/>
          <w:szCs w:val="30"/>
          <w:lang w:val="zh-CN"/>
        </w:rPr>
        <w:t>湖北中南标科技有限公司</w:t>
      </w:r>
    </w:p>
    <w:p>
      <w:pPr>
        <w:widowControl/>
        <w:rPr>
          <w:rFonts w:ascii="仿宋_GB2312" w:hAnsi="宋体" w:eastAsia="仿宋_GB2312" w:cs="宋体"/>
          <w:sz w:val="30"/>
          <w:szCs w:val="30"/>
          <w:lang w:val="zh-CN"/>
        </w:rPr>
      </w:pPr>
      <w:r>
        <w:rPr>
          <w:rFonts w:hint="eastAsia" w:ascii="仿宋_GB2312" w:hAnsi="宋体" w:eastAsia="仿宋_GB2312" w:cs="宋体"/>
          <w:sz w:val="30"/>
          <w:szCs w:val="30"/>
          <w:lang w:val="zh-CN"/>
        </w:rPr>
        <w:t>中工武大设计集团有限公司</w:t>
      </w:r>
    </w:p>
    <w:p>
      <w:pPr>
        <w:widowControl/>
        <w:rPr>
          <w:rFonts w:ascii="仿宋_GB2312" w:hAnsi="宋体" w:eastAsia="仿宋_GB2312" w:cs="宋体"/>
          <w:sz w:val="30"/>
          <w:szCs w:val="30"/>
          <w:lang w:val="zh-CN"/>
        </w:rPr>
      </w:pPr>
      <w:r>
        <w:rPr>
          <w:rFonts w:hint="eastAsia" w:ascii="仿宋_GB2312" w:hAnsi="宋体" w:eastAsia="仿宋_GB2312" w:cs="宋体"/>
          <w:sz w:val="30"/>
          <w:szCs w:val="30"/>
          <w:lang w:val="zh-CN"/>
        </w:rPr>
        <w:t>中建三局工程设计有限公司</w:t>
      </w:r>
    </w:p>
    <w:p>
      <w:pPr>
        <w:widowControl/>
        <w:rPr>
          <w:rFonts w:ascii="仿宋_GB2312" w:hAnsi="宋体" w:eastAsia="仿宋_GB2312" w:cs="宋体"/>
          <w:sz w:val="30"/>
          <w:szCs w:val="30"/>
          <w:lang w:val="zh-CN"/>
        </w:rPr>
      </w:pPr>
      <w:r>
        <w:rPr>
          <w:rFonts w:hint="eastAsia" w:ascii="仿宋_GB2312" w:hAnsi="宋体" w:eastAsia="仿宋_GB2312" w:cs="宋体"/>
          <w:sz w:val="30"/>
          <w:szCs w:val="30"/>
          <w:lang w:val="zh-CN"/>
        </w:rPr>
        <w:t>湖北联投城市运营有限公司</w:t>
      </w:r>
    </w:p>
    <w:p>
      <w:pPr>
        <w:widowControl/>
        <w:rPr>
          <w:rFonts w:ascii="仿宋_GB2312" w:hAnsi="宋体" w:eastAsia="仿宋_GB2312" w:cs="宋体"/>
          <w:sz w:val="30"/>
          <w:szCs w:val="30"/>
          <w:lang w:val="zh-CN"/>
        </w:rPr>
      </w:pPr>
    </w:p>
    <w:p>
      <w:pPr>
        <w:widowControl/>
        <w:rPr>
          <w:rFonts w:ascii="仿宋_GB2312" w:hAnsi="宋体" w:eastAsia="仿宋_GB2312" w:cs="宋体"/>
          <w:b/>
          <w:bCs/>
          <w:sz w:val="30"/>
          <w:szCs w:val="30"/>
          <w:lang w:val="zh-CN"/>
        </w:rPr>
      </w:pPr>
      <w:r>
        <w:rPr>
          <w:rFonts w:hint="eastAsia" w:ascii="仿宋_GB2312" w:hAnsi="宋体" w:eastAsia="仿宋_GB2312" w:cs="宋体"/>
          <w:b/>
          <w:bCs/>
          <w:sz w:val="30"/>
          <w:szCs w:val="30"/>
          <w:lang w:val="zh-CN"/>
        </w:rPr>
        <w:t>参编单位：</w:t>
      </w:r>
    </w:p>
    <w:p>
      <w:pPr>
        <w:widowControl/>
        <w:rPr>
          <w:rFonts w:ascii="仿宋_GB2312" w:hAnsi="宋体" w:eastAsia="仿宋_GB2312" w:cs="宋体"/>
          <w:sz w:val="30"/>
          <w:szCs w:val="30"/>
          <w:lang w:val="zh-CN"/>
        </w:rPr>
      </w:pPr>
      <w:r>
        <w:rPr>
          <w:rFonts w:hint="eastAsia" w:ascii="仿宋_GB2312" w:hAnsi="宋体" w:eastAsia="仿宋_GB2312" w:cs="宋体"/>
          <w:sz w:val="30"/>
          <w:szCs w:val="30"/>
          <w:lang w:val="zh-CN"/>
        </w:rPr>
        <w:t>中国煤炭科工集团武汉设计研究院有限公司</w:t>
      </w:r>
    </w:p>
    <w:p>
      <w:pPr>
        <w:widowControl/>
        <w:rPr>
          <w:rFonts w:hint="eastAsia" w:ascii="仿宋_GB2312" w:hAnsi="宋体" w:eastAsia="仿宋_GB2312" w:cs="宋体"/>
          <w:sz w:val="30"/>
          <w:szCs w:val="30"/>
          <w:lang w:val="zh-CN"/>
        </w:rPr>
      </w:pPr>
      <w:r>
        <w:rPr>
          <w:rFonts w:hint="eastAsia" w:ascii="仿宋_GB2312" w:hAnsi="宋体" w:eastAsia="仿宋_GB2312" w:cs="宋体"/>
          <w:sz w:val="30"/>
          <w:szCs w:val="30"/>
          <w:lang w:val="zh-CN"/>
        </w:rPr>
        <w:t>中建八局第一建设有限公司</w:t>
      </w:r>
    </w:p>
    <w:p>
      <w:pPr>
        <w:widowControl/>
        <w:rPr>
          <w:rFonts w:ascii="仿宋_GB2312" w:hAnsi="宋体" w:eastAsia="仿宋_GB2312" w:cs="宋体"/>
          <w:sz w:val="30"/>
          <w:szCs w:val="30"/>
          <w:lang w:val="zh-CN"/>
        </w:rPr>
      </w:pPr>
      <w:r>
        <w:rPr>
          <w:rFonts w:hint="eastAsia" w:ascii="仿宋_GB2312" w:hAnsi="宋体" w:eastAsia="仿宋_GB2312" w:cs="宋体"/>
          <w:sz w:val="30"/>
          <w:szCs w:val="30"/>
          <w:lang w:val="zh-CN"/>
        </w:rPr>
        <w:t>武汉市建设工程设计审查和消防验收中心</w:t>
      </w:r>
    </w:p>
    <w:p>
      <w:pPr>
        <w:widowControl/>
        <w:rPr>
          <w:rFonts w:ascii="仿宋_GB2312" w:hAnsi="宋体" w:eastAsia="仿宋_GB2312" w:cs="宋体"/>
          <w:sz w:val="30"/>
          <w:szCs w:val="30"/>
          <w:lang w:val="zh-CN"/>
        </w:rPr>
      </w:pPr>
    </w:p>
    <w:p>
      <w:pPr>
        <w:widowControl/>
        <w:rPr>
          <w:rFonts w:ascii="仿宋_GB2312" w:hAnsi="宋体" w:eastAsia="仿宋_GB2312" w:cs="宋体"/>
          <w:sz w:val="30"/>
          <w:szCs w:val="30"/>
          <w:lang w:val="zh-CN"/>
        </w:rPr>
      </w:pPr>
    </w:p>
    <w:p>
      <w:pPr>
        <w:widowControl/>
        <w:rPr>
          <w:rFonts w:ascii="仿宋_GB2312" w:hAnsi="宋体" w:eastAsia="仿宋_GB2312" w:cs="宋体"/>
          <w:b/>
          <w:bCs/>
          <w:sz w:val="30"/>
          <w:szCs w:val="30"/>
          <w:lang w:val="zh-CN"/>
        </w:rPr>
      </w:pPr>
      <w:r>
        <w:rPr>
          <w:rFonts w:hint="eastAsia" w:ascii="仿宋_GB2312" w:eastAsia="仿宋_GB2312"/>
          <w:b/>
          <w:sz w:val="30"/>
        </w:rPr>
        <w:t>主要起草人</w:t>
      </w:r>
      <w:r>
        <w:rPr>
          <w:rFonts w:hint="eastAsia" w:ascii="仿宋_GB2312" w:hAnsi="宋体" w:eastAsia="仿宋_GB2312" w:cs="宋体"/>
          <w:b/>
          <w:bCs/>
          <w:sz w:val="30"/>
          <w:szCs w:val="30"/>
          <w:lang w:val="zh-CN"/>
        </w:rPr>
        <w:t>：</w:t>
      </w:r>
    </w:p>
    <w:p>
      <w:pPr>
        <w:widowControl/>
        <w:rPr>
          <w:rFonts w:ascii="仿宋_GB2312" w:hAnsi="宋体" w:eastAsia="仿宋_GB2312" w:cs="宋体"/>
          <w:b/>
          <w:bCs/>
          <w:sz w:val="30"/>
          <w:szCs w:val="30"/>
          <w:lang w:val="zh-CN"/>
        </w:rPr>
      </w:pPr>
      <w:r>
        <w:rPr>
          <w:rFonts w:hint="eastAsia" w:ascii="仿宋_GB2312" w:hAnsi="宋体" w:eastAsia="仿宋_GB2312" w:cs="宋体"/>
          <w:b/>
          <w:bCs/>
          <w:sz w:val="30"/>
          <w:szCs w:val="30"/>
          <w:lang w:val="zh-CN"/>
        </w:rPr>
        <w:t>湖北省建筑设计院有限公司</w:t>
      </w:r>
    </w:p>
    <w:p>
      <w:pPr>
        <w:widowControl/>
        <w:ind w:left="280" w:hanging="280" w:hangingChars="100"/>
        <w:rPr>
          <w:rFonts w:ascii="仿宋_GB2312" w:hAnsi="宋体" w:eastAsia="仿宋_GB2312" w:cs="宋体"/>
          <w:sz w:val="28"/>
          <w:szCs w:val="28"/>
          <w:lang w:val="zh-CN"/>
        </w:rPr>
      </w:pPr>
      <w:r>
        <w:rPr>
          <w:rFonts w:hint="eastAsia" w:ascii="仿宋_GB2312" w:hAnsi="宋体" w:eastAsia="仿宋_GB2312" w:cs="宋体"/>
          <w:sz w:val="28"/>
          <w:szCs w:val="28"/>
          <w:lang w:val="zh-CN"/>
        </w:rPr>
        <w:t xml:space="preserve">王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睿</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 xml:space="preserve">冉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颖</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梁海林</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万丕陈</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卢倩倩</w:t>
      </w:r>
    </w:p>
    <w:p>
      <w:pPr>
        <w:widowControl/>
        <w:rPr>
          <w:rFonts w:ascii="仿宋_GB2312" w:hAnsi="宋体" w:eastAsia="仿宋_GB2312" w:cs="宋体"/>
          <w:b/>
          <w:bCs/>
          <w:sz w:val="30"/>
          <w:szCs w:val="30"/>
          <w:lang w:val="zh-CN"/>
        </w:rPr>
      </w:pPr>
      <w:r>
        <w:rPr>
          <w:rFonts w:hint="eastAsia" w:ascii="仿宋_GB2312" w:hAnsi="宋体" w:eastAsia="仿宋_GB2312" w:cs="宋体"/>
          <w:b/>
          <w:bCs/>
          <w:sz w:val="30"/>
          <w:szCs w:val="30"/>
          <w:lang w:val="zh-CN"/>
        </w:rPr>
        <w:t>湖北中南标科技有限公司</w:t>
      </w:r>
    </w:p>
    <w:p>
      <w:pPr>
        <w:widowControl/>
        <w:ind w:left="280" w:hanging="280" w:hangingChars="100"/>
        <w:rPr>
          <w:rFonts w:ascii="仿宋_GB2312" w:hAnsi="宋体" w:eastAsia="仿宋_GB2312" w:cs="宋体"/>
          <w:sz w:val="28"/>
          <w:szCs w:val="28"/>
          <w:lang w:val="zh-CN"/>
        </w:rPr>
      </w:pPr>
      <w:r>
        <w:rPr>
          <w:rFonts w:hint="eastAsia" w:ascii="仿宋_GB2312" w:hAnsi="宋体" w:eastAsia="仿宋_GB2312" w:cs="宋体"/>
          <w:sz w:val="28"/>
          <w:szCs w:val="28"/>
          <w:lang w:val="zh-CN"/>
        </w:rPr>
        <w:t>罗永刚</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张绍辰</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陈妍廷</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 xml:space="preserve">景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维</w:t>
      </w:r>
    </w:p>
    <w:p>
      <w:pPr>
        <w:widowControl/>
        <w:rPr>
          <w:rFonts w:ascii="仿宋_GB2312" w:hAnsi="宋体" w:eastAsia="仿宋_GB2312" w:cs="宋体"/>
          <w:b/>
          <w:bCs/>
          <w:sz w:val="30"/>
          <w:szCs w:val="30"/>
          <w:lang w:val="zh-CN"/>
        </w:rPr>
      </w:pPr>
      <w:r>
        <w:rPr>
          <w:rFonts w:hint="eastAsia" w:ascii="仿宋_GB2312" w:hAnsi="宋体" w:eastAsia="仿宋_GB2312" w:cs="宋体"/>
          <w:b/>
          <w:bCs/>
          <w:sz w:val="30"/>
          <w:szCs w:val="30"/>
          <w:lang w:val="zh-CN"/>
        </w:rPr>
        <w:t>中工武大设计集团有限公司</w:t>
      </w:r>
    </w:p>
    <w:p>
      <w:pPr>
        <w:widowControl/>
        <w:tabs>
          <w:tab w:val="left" w:pos="420"/>
          <w:tab w:val="left" w:pos="840"/>
          <w:tab w:val="left" w:pos="1260"/>
          <w:tab w:val="left" w:pos="1680"/>
          <w:tab w:val="left" w:pos="2100"/>
          <w:tab w:val="left" w:pos="2520"/>
          <w:tab w:val="center" w:pos="4153"/>
        </w:tabs>
        <w:ind w:left="280" w:hanging="280" w:hangingChars="100"/>
        <w:rPr>
          <w:rFonts w:ascii="仿宋_GB2312" w:hAnsi="宋体" w:eastAsia="仿宋_GB2312" w:cs="宋体"/>
          <w:sz w:val="28"/>
          <w:szCs w:val="28"/>
          <w:lang w:val="zh-CN"/>
        </w:rPr>
      </w:pPr>
      <w:r>
        <w:rPr>
          <w:rFonts w:hint="eastAsia" w:ascii="仿宋_GB2312" w:hAnsi="宋体" w:eastAsia="仿宋_GB2312" w:cs="宋体"/>
          <w:sz w:val="28"/>
          <w:szCs w:val="28"/>
          <w:lang w:val="zh-CN"/>
        </w:rPr>
        <w:t xml:space="preserve">饶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理</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 xml:space="preserve">李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韦</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王金玉</w:t>
      </w:r>
    </w:p>
    <w:p>
      <w:pPr>
        <w:widowControl/>
        <w:rPr>
          <w:rFonts w:ascii="仿宋_GB2312" w:hAnsi="宋体" w:eastAsia="仿宋_GB2312" w:cs="宋体"/>
          <w:b/>
          <w:bCs/>
          <w:sz w:val="30"/>
          <w:szCs w:val="30"/>
          <w:lang w:val="zh-CN"/>
        </w:rPr>
      </w:pPr>
      <w:r>
        <w:rPr>
          <w:rFonts w:hint="eastAsia" w:ascii="仿宋_GB2312" w:hAnsi="宋体" w:eastAsia="仿宋_GB2312" w:cs="宋体"/>
          <w:b/>
          <w:bCs/>
          <w:sz w:val="30"/>
          <w:szCs w:val="30"/>
          <w:lang w:val="zh-CN"/>
        </w:rPr>
        <w:t>中建三局工程设计有限公司</w:t>
      </w:r>
    </w:p>
    <w:p>
      <w:pPr>
        <w:widowControl/>
        <w:ind w:left="280" w:hanging="280" w:hangingChars="100"/>
        <w:rPr>
          <w:rFonts w:ascii="仿宋_GB2312" w:hAnsi="宋体" w:eastAsia="仿宋_GB2312" w:cs="宋体"/>
          <w:sz w:val="28"/>
          <w:szCs w:val="28"/>
          <w:lang w:val="zh-CN"/>
        </w:rPr>
      </w:pPr>
      <w:r>
        <w:rPr>
          <w:rFonts w:hint="eastAsia" w:ascii="仿宋_GB2312" w:hAnsi="宋体" w:eastAsia="仿宋_GB2312" w:cs="宋体"/>
          <w:sz w:val="28"/>
          <w:szCs w:val="28"/>
          <w:lang w:val="zh-CN"/>
        </w:rPr>
        <w:t>陈志敏</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陈千应</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 xml:space="preserve">谢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巍</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姜陈铭</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 xml:space="preserve">李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翔</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 xml:space="preserve">刘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庆</w:t>
      </w:r>
    </w:p>
    <w:p>
      <w:pPr>
        <w:widowControl/>
        <w:rPr>
          <w:rFonts w:ascii="仿宋_GB2312" w:hAnsi="宋体" w:eastAsia="仿宋_GB2312" w:cs="宋体"/>
          <w:b/>
          <w:bCs/>
          <w:sz w:val="30"/>
          <w:szCs w:val="30"/>
          <w:lang w:val="zh-CN"/>
        </w:rPr>
      </w:pPr>
      <w:r>
        <w:rPr>
          <w:rFonts w:hint="eastAsia" w:ascii="仿宋_GB2312" w:hAnsi="宋体" w:eastAsia="仿宋_GB2312" w:cs="宋体"/>
          <w:b/>
          <w:bCs/>
          <w:sz w:val="30"/>
          <w:szCs w:val="30"/>
          <w:lang w:val="zh-CN"/>
        </w:rPr>
        <w:t>湖北联投城市运营有限公司</w:t>
      </w:r>
    </w:p>
    <w:p>
      <w:pPr>
        <w:widowControl/>
        <w:ind w:left="280" w:hanging="280" w:hangingChars="100"/>
        <w:rPr>
          <w:rFonts w:ascii="仿宋_GB2312" w:hAnsi="宋体" w:eastAsia="仿宋_GB2312" w:cs="宋体"/>
          <w:sz w:val="28"/>
          <w:szCs w:val="28"/>
          <w:lang w:val="zh-CN"/>
        </w:rPr>
      </w:pPr>
      <w:r>
        <w:rPr>
          <w:rFonts w:hint="eastAsia" w:ascii="仿宋_GB2312" w:hAnsi="宋体" w:eastAsia="仿宋_GB2312" w:cs="宋体"/>
          <w:sz w:val="28"/>
          <w:szCs w:val="28"/>
          <w:lang w:val="zh-CN"/>
        </w:rPr>
        <w:t xml:space="preserve">鞠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玲</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覃志鹏</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杜登科</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王冰杰</w:t>
      </w:r>
    </w:p>
    <w:p>
      <w:pPr>
        <w:widowControl/>
        <w:rPr>
          <w:rFonts w:ascii="仿宋_GB2312" w:hAnsi="宋体" w:eastAsia="仿宋_GB2312" w:cs="宋体"/>
          <w:b/>
          <w:bCs/>
          <w:sz w:val="30"/>
          <w:szCs w:val="30"/>
          <w:lang w:val="zh-CN"/>
        </w:rPr>
      </w:pPr>
      <w:r>
        <w:rPr>
          <w:rFonts w:hint="eastAsia" w:ascii="仿宋_GB2312" w:hAnsi="宋体" w:eastAsia="仿宋_GB2312" w:cs="宋体"/>
          <w:b/>
          <w:bCs/>
          <w:sz w:val="30"/>
          <w:szCs w:val="30"/>
          <w:lang w:val="zh-CN"/>
        </w:rPr>
        <w:t>中国煤炭科工集团武汉设计研究院有限公司</w:t>
      </w:r>
    </w:p>
    <w:p>
      <w:pPr>
        <w:widowControl/>
        <w:ind w:left="280" w:hanging="280" w:hangingChars="100"/>
        <w:rPr>
          <w:rFonts w:ascii="仿宋_GB2312" w:hAnsi="宋体" w:eastAsia="仿宋_GB2312" w:cs="宋体"/>
          <w:sz w:val="28"/>
          <w:szCs w:val="28"/>
          <w:lang w:val="zh-CN"/>
        </w:rPr>
      </w:pPr>
      <w:r>
        <w:rPr>
          <w:rFonts w:hint="eastAsia" w:ascii="仿宋_GB2312" w:hAnsi="宋体" w:eastAsia="仿宋_GB2312" w:cs="宋体"/>
          <w:sz w:val="28"/>
          <w:szCs w:val="28"/>
          <w:lang w:val="zh-CN"/>
        </w:rPr>
        <w:t>刘诗泉</w:t>
      </w:r>
    </w:p>
    <w:p>
      <w:pPr>
        <w:widowControl/>
        <w:rPr>
          <w:rFonts w:ascii="仿宋_GB2312" w:hAnsi="宋体" w:eastAsia="仿宋_GB2312" w:cs="宋体"/>
          <w:b/>
          <w:bCs/>
          <w:sz w:val="30"/>
          <w:szCs w:val="30"/>
          <w:lang w:val="zh-CN"/>
        </w:rPr>
      </w:pPr>
      <w:r>
        <w:rPr>
          <w:rFonts w:hint="eastAsia" w:ascii="仿宋_GB2312" w:hAnsi="宋体" w:eastAsia="仿宋_GB2312" w:cs="宋体"/>
          <w:b/>
          <w:bCs/>
          <w:sz w:val="30"/>
          <w:szCs w:val="30"/>
          <w:lang w:val="zh-CN"/>
        </w:rPr>
        <w:t>中建八局第一建设有限公司</w:t>
      </w:r>
    </w:p>
    <w:p>
      <w:pPr>
        <w:widowControl/>
        <w:ind w:left="280" w:hanging="280" w:hangingChars="100"/>
        <w:rPr>
          <w:rFonts w:hint="eastAsia" w:ascii="仿宋_GB2312" w:hAnsi="宋体" w:eastAsia="仿宋_GB2312" w:cs="宋体"/>
          <w:sz w:val="28"/>
          <w:szCs w:val="28"/>
          <w:lang w:val="zh-CN"/>
        </w:rPr>
      </w:pPr>
      <w:r>
        <w:rPr>
          <w:rFonts w:hint="eastAsia" w:ascii="仿宋_GB2312" w:hAnsi="宋体" w:eastAsia="仿宋_GB2312" w:cs="宋体"/>
          <w:sz w:val="28"/>
          <w:szCs w:val="28"/>
          <w:lang w:val="zh-CN"/>
        </w:rPr>
        <w:t xml:space="preserve">弓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进</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 xml:space="preserve">李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兵</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 xml:space="preserve">刘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斌</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 xml:space="preserve">王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晗</w:t>
      </w:r>
    </w:p>
    <w:p>
      <w:pPr>
        <w:widowControl/>
        <w:rPr>
          <w:rFonts w:ascii="仿宋_GB2312" w:hAnsi="宋体" w:eastAsia="仿宋_GB2312" w:cs="宋体"/>
          <w:b/>
          <w:bCs/>
          <w:sz w:val="30"/>
          <w:szCs w:val="30"/>
          <w:lang w:val="zh-CN"/>
        </w:rPr>
      </w:pPr>
      <w:r>
        <w:rPr>
          <w:rFonts w:hint="eastAsia" w:ascii="仿宋_GB2312" w:hAnsi="宋体" w:eastAsia="仿宋_GB2312" w:cs="宋体"/>
          <w:b/>
          <w:bCs/>
          <w:sz w:val="30"/>
          <w:szCs w:val="30"/>
          <w:lang w:val="zh-CN"/>
        </w:rPr>
        <w:t>武汉市建设工程设计审查和消防验收中心</w:t>
      </w:r>
    </w:p>
    <w:p>
      <w:pPr>
        <w:widowControl/>
        <w:ind w:left="280" w:hanging="280" w:hangingChars="100"/>
        <w:rPr>
          <w:rFonts w:ascii="仿宋_GB2312" w:hAnsi="宋体" w:eastAsia="仿宋_GB2312" w:cs="宋体"/>
          <w:sz w:val="28"/>
          <w:szCs w:val="28"/>
          <w:lang w:val="zh-CN"/>
        </w:rPr>
      </w:pPr>
      <w:r>
        <w:rPr>
          <w:rFonts w:hint="eastAsia" w:ascii="仿宋_GB2312" w:hAnsi="宋体" w:eastAsia="仿宋_GB2312" w:cs="宋体"/>
          <w:sz w:val="28"/>
          <w:szCs w:val="28"/>
          <w:lang w:val="zh-CN"/>
        </w:rPr>
        <w:t xml:space="preserve">赵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路</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龙康博</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薛军鹏</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 xml:space="preserve">方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丹</w:t>
      </w:r>
    </w:p>
    <w:p>
      <w:pPr>
        <w:widowControl/>
        <w:ind w:left="280" w:hanging="280" w:hangingChars="100"/>
        <w:rPr>
          <w:rFonts w:hint="eastAsia" w:ascii="仿宋_GB2312" w:hAnsi="宋体" w:eastAsia="仿宋_GB2312" w:cs="宋体"/>
          <w:sz w:val="28"/>
          <w:szCs w:val="28"/>
          <w:lang w:val="zh-CN"/>
        </w:rPr>
      </w:pPr>
    </w:p>
    <w:p>
      <w:pPr>
        <w:widowControl/>
        <w:ind w:left="280" w:hanging="280" w:hangingChars="100"/>
        <w:rPr>
          <w:rFonts w:ascii="仿宋_GB2312" w:hAnsi="宋体" w:eastAsia="仿宋_GB2312" w:cs="宋体"/>
          <w:sz w:val="28"/>
          <w:szCs w:val="28"/>
          <w:lang w:val="zh-CN"/>
        </w:rPr>
      </w:pPr>
    </w:p>
    <w:p>
      <w:pPr>
        <w:widowControl/>
        <w:rPr>
          <w:rFonts w:ascii="仿宋_GB2312" w:hAnsi="宋体" w:eastAsia="仿宋_GB2312" w:cs="宋体"/>
          <w:b/>
          <w:bCs/>
          <w:sz w:val="30"/>
          <w:szCs w:val="30"/>
          <w:lang w:val="zh-CN"/>
        </w:rPr>
      </w:pPr>
      <w:r>
        <w:rPr>
          <w:rFonts w:hint="eastAsia" w:ascii="仿宋_GB2312" w:hAnsi="宋体" w:eastAsia="仿宋_GB2312" w:cs="宋体"/>
          <w:b/>
          <w:bCs/>
          <w:sz w:val="30"/>
          <w:szCs w:val="30"/>
          <w:lang w:val="zh-CN"/>
        </w:rPr>
        <w:t>主要审查人员：</w:t>
      </w:r>
    </w:p>
    <w:p>
      <w:pPr>
        <w:widowControl/>
        <w:ind w:left="280" w:hanging="280" w:hangingChars="100"/>
        <w:rPr>
          <w:rFonts w:ascii="仿宋_GB2312" w:hAnsi="宋体" w:eastAsia="仿宋_GB2312" w:cs="宋体"/>
          <w:sz w:val="28"/>
          <w:szCs w:val="28"/>
          <w:lang w:val="zh-CN"/>
        </w:rPr>
      </w:pPr>
      <w:r>
        <w:rPr>
          <w:rFonts w:hint="eastAsia" w:ascii="仿宋_GB2312" w:hAnsi="宋体" w:eastAsia="仿宋_GB2312" w:cs="宋体"/>
          <w:sz w:val="28"/>
          <w:szCs w:val="28"/>
          <w:lang w:val="zh-CN"/>
        </w:rPr>
        <w:t>张湖林</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肖梦奇</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王晓晖</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 xml:space="preserve">林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莉</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聂云峰</w:t>
      </w:r>
      <w:r>
        <w:rPr>
          <w:rFonts w:ascii="仿宋_GB2312" w:hAnsi="宋体" w:eastAsia="仿宋_GB2312" w:cs="宋体"/>
          <w:sz w:val="28"/>
          <w:szCs w:val="28"/>
          <w:lang w:val="zh-CN"/>
        </w:rPr>
        <w:tab/>
      </w:r>
      <w:r>
        <w:rPr>
          <w:rFonts w:hint="eastAsia" w:ascii="仿宋_GB2312" w:hAnsi="宋体" w:eastAsia="仿宋_GB2312" w:cs="宋体"/>
          <w:sz w:val="28"/>
          <w:szCs w:val="28"/>
          <w:lang w:val="zh-CN"/>
        </w:rPr>
        <w:t>张翅翔</w:t>
      </w:r>
    </w:p>
    <w:p>
      <w:pPr>
        <w:widowControl/>
        <w:ind w:left="280" w:hanging="280" w:hangingChars="100"/>
        <w:rPr>
          <w:rFonts w:ascii="仿宋_GB2312" w:hAnsi="宋体" w:eastAsia="仿宋_GB2312" w:cs="宋体"/>
          <w:sz w:val="28"/>
          <w:szCs w:val="28"/>
          <w:lang w:val="zh-CN"/>
        </w:rPr>
      </w:pPr>
      <w:r>
        <w:rPr>
          <w:rFonts w:hint="eastAsia" w:ascii="仿宋_GB2312" w:hAnsi="宋体" w:eastAsia="仿宋_GB2312" w:cs="宋体"/>
          <w:sz w:val="28"/>
          <w:szCs w:val="28"/>
          <w:lang w:val="zh-CN"/>
        </w:rPr>
        <w:t xml:space="preserve">刘 </w:t>
      </w:r>
      <w:r>
        <w:rPr>
          <w:rFonts w:ascii="仿宋_GB2312" w:hAnsi="宋体" w:eastAsia="仿宋_GB2312" w:cs="宋体"/>
          <w:sz w:val="28"/>
          <w:szCs w:val="28"/>
          <w:lang w:val="zh-CN"/>
        </w:rPr>
        <w:t xml:space="preserve"> </w:t>
      </w:r>
      <w:r>
        <w:rPr>
          <w:rFonts w:hint="eastAsia" w:ascii="仿宋_GB2312" w:hAnsi="宋体" w:eastAsia="仿宋_GB2312" w:cs="宋体"/>
          <w:sz w:val="28"/>
          <w:szCs w:val="28"/>
          <w:lang w:val="zh-CN"/>
        </w:rPr>
        <w:t>炜</w:t>
      </w:r>
    </w:p>
    <w:p>
      <w:pPr>
        <w:widowControl/>
        <w:jc w:val="left"/>
        <w:rPr>
          <w:rFonts w:ascii="宋体" w:hAnsi="宋体" w:cs="宋体"/>
          <w:sz w:val="48"/>
          <w:szCs w:val="48"/>
          <w:lang w:val="zh-CN"/>
        </w:rPr>
      </w:pPr>
      <w:r>
        <w:rPr>
          <w:rFonts w:ascii="宋体" w:hAnsi="宋体" w:cs="宋体"/>
          <w:sz w:val="48"/>
          <w:szCs w:val="48"/>
          <w:lang w:val="zh-CN"/>
        </w:rPr>
        <w:br w:type="page"/>
      </w:r>
    </w:p>
    <w:p>
      <w:pPr>
        <w:pStyle w:val="374"/>
        <w:spacing w:before="156" w:after="156"/>
        <w:jc w:val="center"/>
        <w:rPr>
          <w:rFonts w:ascii="黑体" w:hAnsi="黑体" w:eastAsia="黑体" w:cs="宋体"/>
          <w:color w:val="auto"/>
          <w:sz w:val="36"/>
          <w:szCs w:val="36"/>
        </w:rPr>
      </w:pPr>
      <w:r>
        <w:rPr>
          <w:rFonts w:hint="eastAsia" w:ascii="黑体" w:hAnsi="黑体" w:eastAsia="黑体" w:cs="宋体"/>
          <w:color w:val="auto"/>
          <w:sz w:val="36"/>
          <w:szCs w:val="36"/>
          <w:lang w:val="zh-CN"/>
        </w:rPr>
        <w:t>目 录</w:t>
      </w:r>
    </w:p>
    <w:p>
      <w:pPr>
        <w:pStyle w:val="30"/>
        <w:spacing w:line="400" w:lineRule="exact"/>
        <w:rPr>
          <w:rFonts w:asciiTheme="minorEastAsia" w:hAnsiTheme="minorEastAsia" w:eastAsiaTheme="minorEastAsia" w:cstheme="minorBidi"/>
          <w:bCs w:val="0"/>
          <w:kern w:val="2"/>
          <w:sz w:val="21"/>
          <w:szCs w:val="22"/>
        </w:rPr>
      </w:pPr>
      <w:r>
        <w:rPr>
          <w:rFonts w:hint="eastAsia" w:cs="宋体" w:asciiTheme="minorEastAsia" w:hAnsiTheme="minorEastAsia" w:eastAsiaTheme="minorEastAsia"/>
          <w:b/>
          <w:bCs w:val="0"/>
        </w:rPr>
        <w:fldChar w:fldCharType="begin"/>
      </w:r>
      <w:r>
        <w:rPr>
          <w:rFonts w:hint="eastAsia" w:cs="宋体" w:asciiTheme="minorEastAsia" w:hAnsiTheme="minorEastAsia" w:eastAsiaTheme="minorEastAsia"/>
          <w:b/>
          <w:bCs w:val="0"/>
        </w:rPr>
        <w:instrText xml:space="preserve"> TOC \o "1-3" \h \z \u </w:instrText>
      </w:r>
      <w:r>
        <w:rPr>
          <w:rFonts w:hint="eastAsia" w:cs="宋体" w:asciiTheme="minorEastAsia" w:hAnsiTheme="minorEastAsia" w:eastAsiaTheme="minorEastAsia"/>
          <w:b/>
          <w:bCs w:val="0"/>
        </w:rPr>
        <w:fldChar w:fldCharType="separate"/>
      </w:r>
      <w:r>
        <w:fldChar w:fldCharType="begin"/>
      </w:r>
      <w:r>
        <w:instrText xml:space="preserve"> HYPERLINK \l "_Toc151217798" </w:instrText>
      </w:r>
      <w:r>
        <w:fldChar w:fldCharType="separate"/>
      </w:r>
      <w:r>
        <w:rPr>
          <w:rStyle w:val="53"/>
          <w:rFonts w:cs="黑体" w:asciiTheme="minorEastAsia" w:hAnsiTheme="minorEastAsia" w:eastAsiaTheme="minorEastAsia"/>
          <w:b/>
        </w:rPr>
        <w:t>1 总则</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_Toc151217798 \h </w:instrText>
      </w:r>
      <w:r>
        <w:rPr>
          <w:rFonts w:asciiTheme="minorEastAsia" w:hAnsiTheme="minorEastAsia" w:eastAsiaTheme="minorEastAsia"/>
        </w:rPr>
        <w:fldChar w:fldCharType="separate"/>
      </w:r>
      <w:r>
        <w:rPr>
          <w:rFonts w:asciiTheme="minorEastAsia" w:hAnsiTheme="minorEastAsia" w:eastAsiaTheme="minorEastAsia"/>
        </w:rPr>
        <w:t>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rPr>
          <w:rFonts w:asciiTheme="minorEastAsia" w:hAnsiTheme="minorEastAsia" w:eastAsiaTheme="minorEastAsia" w:cstheme="minorBidi"/>
          <w:bCs w:val="0"/>
          <w:kern w:val="2"/>
          <w:sz w:val="21"/>
          <w:szCs w:val="22"/>
        </w:rPr>
      </w:pPr>
      <w:r>
        <w:fldChar w:fldCharType="begin"/>
      </w:r>
      <w:r>
        <w:instrText xml:space="preserve"> HYPERLINK \l "_Toc151217799" </w:instrText>
      </w:r>
      <w:r>
        <w:fldChar w:fldCharType="separate"/>
      </w:r>
      <w:r>
        <w:rPr>
          <w:rStyle w:val="53"/>
          <w:rFonts w:cs="黑体" w:asciiTheme="minorEastAsia" w:hAnsiTheme="minorEastAsia" w:eastAsiaTheme="minorEastAsia"/>
          <w:b/>
        </w:rPr>
        <w:t>2 基本要求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_Toc151217799 \h </w:instrText>
      </w:r>
      <w:r>
        <w:rPr>
          <w:rFonts w:asciiTheme="minorEastAsia" w:hAnsiTheme="minorEastAsia" w:eastAsiaTheme="minorEastAsia"/>
        </w:rPr>
        <w:fldChar w:fldCharType="separate"/>
      </w:r>
      <w:r>
        <w:rPr>
          <w:rFonts w:asciiTheme="minorEastAsia" w:hAnsiTheme="minorEastAsia" w:eastAsiaTheme="minorEastAsia"/>
        </w:rPr>
        <w:t>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rPr>
          <w:rFonts w:asciiTheme="minorEastAsia" w:hAnsiTheme="minorEastAsia" w:eastAsiaTheme="minorEastAsia" w:cstheme="minorBidi"/>
          <w:bCs w:val="0"/>
          <w:kern w:val="2"/>
          <w:sz w:val="21"/>
          <w:szCs w:val="22"/>
        </w:rPr>
      </w:pPr>
      <w:r>
        <w:fldChar w:fldCharType="begin"/>
      </w:r>
      <w:r>
        <w:instrText xml:space="preserve"> HYPERLINK \l "_Toc151217800" </w:instrText>
      </w:r>
      <w:r>
        <w:fldChar w:fldCharType="separate"/>
      </w:r>
      <w:r>
        <w:rPr>
          <w:rStyle w:val="53"/>
          <w:rFonts w:cs="黑体" w:asciiTheme="minorEastAsia" w:hAnsiTheme="minorEastAsia" w:eastAsiaTheme="minorEastAsia"/>
          <w:b/>
        </w:rPr>
        <w:t>3 小区公共环境</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_Toc151217800 \h </w:instrText>
      </w:r>
      <w:r>
        <w:rPr>
          <w:rFonts w:asciiTheme="minorEastAsia" w:hAnsiTheme="minorEastAsia" w:eastAsiaTheme="minorEastAsia"/>
        </w:rPr>
        <w:fldChar w:fldCharType="separate"/>
      </w:r>
      <w:r>
        <w:rPr>
          <w:rFonts w:asciiTheme="minorEastAsia" w:hAnsiTheme="minorEastAsia" w:eastAsiaTheme="minorEastAsia"/>
        </w:rPr>
        <w:t>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"_Toc151217801" </w:instrText>
      </w:r>
      <w:r>
        <w:fldChar w:fldCharType="separate"/>
      </w:r>
      <w:r>
        <w:rPr>
          <w:rStyle w:val="53"/>
          <w:rFonts w:cs="黑体" w:asciiTheme="minorEastAsia" w:hAnsiTheme="minorEastAsia" w:eastAsiaTheme="minorEastAsia"/>
        </w:rPr>
        <w:t>3.1 道路交通</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_Toc151217801 \h </w:instrText>
      </w:r>
      <w:r>
        <w:rPr>
          <w:rFonts w:asciiTheme="minorEastAsia" w:hAnsiTheme="minorEastAsia" w:eastAsiaTheme="minorEastAsia"/>
        </w:rPr>
        <w:fldChar w:fldCharType="separate"/>
      </w:r>
      <w:r>
        <w:rPr>
          <w:rFonts w:asciiTheme="minorEastAsia" w:hAnsiTheme="minorEastAsia" w:eastAsiaTheme="minorEastAsia"/>
        </w:rPr>
        <w:t>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"_Toc151217802" </w:instrText>
      </w:r>
      <w:r>
        <w:fldChar w:fldCharType="separate"/>
      </w:r>
      <w:r>
        <w:rPr>
          <w:rStyle w:val="53"/>
          <w:rFonts w:cs="黑体" w:asciiTheme="minorEastAsia" w:hAnsiTheme="minorEastAsia" w:eastAsiaTheme="minorEastAsia"/>
        </w:rPr>
        <w:t>3.2 停车场地</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_Toc151217802 \h </w:instrText>
      </w:r>
      <w:r>
        <w:rPr>
          <w:rFonts w:asciiTheme="minorEastAsia" w:hAnsiTheme="minorEastAsia" w:eastAsiaTheme="minorEastAsia"/>
        </w:rPr>
        <w:fldChar w:fldCharType="separate"/>
      </w:r>
      <w:r>
        <w:rPr>
          <w:rFonts w:asciiTheme="minorEastAsia" w:hAnsiTheme="minorEastAsia" w:eastAsiaTheme="minorEastAsia"/>
        </w:rPr>
        <w:t>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"_Toc151217803" </w:instrText>
      </w:r>
      <w:r>
        <w:fldChar w:fldCharType="separate"/>
      </w:r>
      <w:r>
        <w:rPr>
          <w:rStyle w:val="53"/>
          <w:rFonts w:cs="黑体" w:asciiTheme="minorEastAsia" w:hAnsiTheme="minorEastAsia" w:eastAsiaTheme="minorEastAsia"/>
        </w:rPr>
        <w:t>3.3 公共活动场地</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_Toc151217803 \h </w:instrText>
      </w:r>
      <w:r>
        <w:rPr>
          <w:rFonts w:asciiTheme="minorEastAsia" w:hAnsiTheme="minorEastAsia" w:eastAsiaTheme="minorEastAsia"/>
        </w:rPr>
        <w:fldChar w:fldCharType="separate"/>
      </w:r>
      <w:r>
        <w:rPr>
          <w:rFonts w:asciiTheme="minorEastAsia" w:hAnsiTheme="minorEastAsia" w:eastAsiaTheme="minorEastAsia"/>
        </w:rPr>
        <w:t>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"_Toc151217804" </w:instrText>
      </w:r>
      <w:r>
        <w:fldChar w:fldCharType="separate"/>
      </w:r>
      <w:r>
        <w:rPr>
          <w:rStyle w:val="53"/>
          <w:rFonts w:cs="黑体" w:asciiTheme="minorEastAsia" w:hAnsiTheme="minorEastAsia" w:eastAsiaTheme="minorEastAsia"/>
        </w:rPr>
        <w:t>3.4 绿化景观及其他设施</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_Toc151217804 \h </w:instrText>
      </w:r>
      <w:r>
        <w:rPr>
          <w:rFonts w:asciiTheme="minorEastAsia" w:hAnsiTheme="minorEastAsia" w:eastAsiaTheme="minorEastAsia"/>
        </w:rPr>
        <w:fldChar w:fldCharType="separate"/>
      </w:r>
      <w:r>
        <w:rPr>
          <w:rFonts w:asciiTheme="minorEastAsia" w:hAnsiTheme="minorEastAsia" w:eastAsiaTheme="minorEastAsia"/>
        </w:rPr>
        <w:t>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rPr>
          <w:rFonts w:asciiTheme="minorEastAsia" w:hAnsiTheme="minorEastAsia" w:eastAsiaTheme="minorEastAsia" w:cstheme="minorBidi"/>
          <w:bCs w:val="0"/>
          <w:kern w:val="2"/>
          <w:sz w:val="21"/>
          <w:szCs w:val="22"/>
        </w:rPr>
      </w:pPr>
      <w:r>
        <w:fldChar w:fldCharType="begin"/>
      </w:r>
      <w:r>
        <w:instrText xml:space="preserve"> HYPERLINK \l "_Toc151217805" </w:instrText>
      </w:r>
      <w:r>
        <w:fldChar w:fldCharType="separate"/>
      </w:r>
      <w:r>
        <w:rPr>
          <w:rStyle w:val="53"/>
          <w:rFonts w:cs="黑体" w:asciiTheme="minorEastAsia" w:hAnsiTheme="minorEastAsia" w:eastAsiaTheme="minorEastAsia"/>
          <w:b/>
        </w:rPr>
        <w:t>4 公共部分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_Toc151217805 \h </w:instrText>
      </w:r>
      <w:r>
        <w:rPr>
          <w:rFonts w:asciiTheme="minorEastAsia" w:hAnsiTheme="minorEastAsia" w:eastAsiaTheme="minorEastAsia"/>
        </w:rPr>
        <w:fldChar w:fldCharType="separate"/>
      </w:r>
      <w:r>
        <w:rPr>
          <w:rFonts w:asciiTheme="minorEastAsia" w:hAnsiTheme="minorEastAsia" w:eastAsiaTheme="minorEastAsia"/>
        </w:rPr>
        <w:t>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"_Toc151217806" </w:instrText>
      </w:r>
      <w:r>
        <w:fldChar w:fldCharType="separate"/>
      </w:r>
      <w:r>
        <w:rPr>
          <w:rStyle w:val="53"/>
          <w:rFonts w:cs="黑体" w:asciiTheme="minorEastAsia" w:hAnsiTheme="minorEastAsia" w:eastAsiaTheme="minorEastAsia"/>
        </w:rPr>
        <w:t>4.1 单元出入口及门厅</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_Toc151217806 \h </w:instrText>
      </w:r>
      <w:r>
        <w:rPr>
          <w:rFonts w:asciiTheme="minorEastAsia" w:hAnsiTheme="minorEastAsia" w:eastAsiaTheme="minorEastAsia"/>
        </w:rPr>
        <w:fldChar w:fldCharType="separate"/>
      </w:r>
      <w:r>
        <w:rPr>
          <w:rFonts w:asciiTheme="minorEastAsia" w:hAnsiTheme="minorEastAsia" w:eastAsiaTheme="minorEastAsia"/>
        </w:rPr>
        <w:t>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"_Toc151217807" </w:instrText>
      </w:r>
      <w:r>
        <w:fldChar w:fldCharType="separate"/>
      </w:r>
      <w:r>
        <w:rPr>
          <w:rStyle w:val="53"/>
          <w:rFonts w:cs="黑体" w:asciiTheme="minorEastAsia" w:hAnsiTheme="minorEastAsia" w:eastAsiaTheme="minorEastAsia"/>
        </w:rPr>
        <w:t>4.2 楼梯</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_Toc151217807 \h </w:instrText>
      </w:r>
      <w:r>
        <w:rPr>
          <w:rFonts w:asciiTheme="minorEastAsia" w:hAnsiTheme="minorEastAsia" w:eastAsiaTheme="minorEastAsia"/>
        </w:rPr>
        <w:fldChar w:fldCharType="separate"/>
      </w:r>
      <w:r>
        <w:rPr>
          <w:rFonts w:asciiTheme="minorEastAsia" w:hAnsiTheme="minorEastAsia" w:eastAsiaTheme="minorEastAsia"/>
        </w:rPr>
        <w:t>10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"_Toc151217808" </w:instrText>
      </w:r>
      <w:r>
        <w:fldChar w:fldCharType="separate"/>
      </w:r>
      <w:r>
        <w:rPr>
          <w:rStyle w:val="53"/>
          <w:rFonts w:cs="宋体" w:asciiTheme="minorEastAsia" w:hAnsiTheme="minorEastAsia" w:eastAsiaTheme="minorEastAsia"/>
        </w:rPr>
        <w:t>4.3</w:t>
      </w:r>
      <w:r>
        <w:rPr>
          <w:rStyle w:val="53"/>
          <w:rFonts w:cs="黑体" w:asciiTheme="minorEastAsia" w:hAnsiTheme="minorEastAsia" w:eastAsiaTheme="minorEastAsia"/>
        </w:rPr>
        <w:t xml:space="preserve"> 电梯及电梯厅</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_Toc151217808 \h </w:instrText>
      </w:r>
      <w:r>
        <w:rPr>
          <w:rFonts w:asciiTheme="minorEastAsia" w:hAnsiTheme="minorEastAsia" w:eastAsiaTheme="minorEastAsia"/>
        </w:rPr>
        <w:fldChar w:fldCharType="separate"/>
      </w:r>
      <w:r>
        <w:rPr>
          <w:rFonts w:asciiTheme="minorEastAsia" w:hAnsiTheme="minorEastAsia" w:eastAsiaTheme="minorEastAsia"/>
        </w:rPr>
        <w:t>11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"_Toc151217809" </w:instrText>
      </w:r>
      <w:r>
        <w:fldChar w:fldCharType="separate"/>
      </w:r>
      <w:r>
        <w:rPr>
          <w:rStyle w:val="53"/>
          <w:rFonts w:cs="黑体" w:asciiTheme="minorEastAsia" w:hAnsiTheme="minorEastAsia" w:eastAsiaTheme="minorEastAsia"/>
        </w:rPr>
        <w:t>4.4 标识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_Toc151217809 \h </w:instrText>
      </w:r>
      <w:r>
        <w:rPr>
          <w:rFonts w:asciiTheme="minorEastAsia" w:hAnsiTheme="minorEastAsia" w:eastAsiaTheme="minorEastAsia"/>
        </w:rPr>
        <w:fldChar w:fldCharType="separate"/>
      </w:r>
      <w:r>
        <w:rPr>
          <w:rFonts w:asciiTheme="minorEastAsia" w:hAnsiTheme="minorEastAsia" w:eastAsiaTheme="minorEastAsia"/>
        </w:rPr>
        <w:t>11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rPr>
          <w:rFonts w:asciiTheme="minorEastAsia" w:hAnsiTheme="minorEastAsia" w:eastAsiaTheme="minorEastAsia" w:cstheme="minorBidi"/>
          <w:bCs w:val="0"/>
          <w:kern w:val="2"/>
          <w:sz w:val="21"/>
          <w:szCs w:val="22"/>
        </w:rPr>
      </w:pPr>
      <w:r>
        <w:fldChar w:fldCharType="begin"/>
      </w:r>
      <w:r>
        <w:instrText xml:space="preserve"> HYPERLINK \l "_Toc151217810" </w:instrText>
      </w:r>
      <w:r>
        <w:fldChar w:fldCharType="separate"/>
      </w:r>
      <w:r>
        <w:rPr>
          <w:rStyle w:val="53"/>
          <w:rFonts w:cs="黑体" w:asciiTheme="minorEastAsia" w:hAnsiTheme="minorEastAsia" w:eastAsiaTheme="minorEastAsia"/>
          <w:b/>
        </w:rPr>
        <w:t>5 套内空间</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_Toc151217810 \h </w:instrText>
      </w:r>
      <w:r>
        <w:rPr>
          <w:rFonts w:asciiTheme="minorEastAsia" w:hAnsiTheme="minorEastAsia" w:eastAsiaTheme="minorEastAsia"/>
        </w:rPr>
        <w:fldChar w:fldCharType="separate"/>
      </w:r>
      <w:r>
        <w:rPr>
          <w:rFonts w:asciiTheme="minorEastAsia" w:hAnsiTheme="minorEastAsia" w:eastAsiaTheme="minorEastAsia"/>
        </w:rPr>
        <w:t>15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"_Toc151217811" </w:instrText>
      </w:r>
      <w:r>
        <w:fldChar w:fldCharType="separate"/>
      </w:r>
      <w:r>
        <w:rPr>
          <w:rStyle w:val="53"/>
          <w:rFonts w:cs="黑体" w:asciiTheme="minorEastAsia" w:hAnsiTheme="minorEastAsia" w:eastAsiaTheme="minorEastAsia"/>
        </w:rPr>
        <w:t>5.1 地面</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_Toc151217811 \h </w:instrText>
      </w:r>
      <w:r>
        <w:rPr>
          <w:rFonts w:asciiTheme="minorEastAsia" w:hAnsiTheme="minorEastAsia" w:eastAsiaTheme="minorEastAsia"/>
        </w:rPr>
        <w:fldChar w:fldCharType="separate"/>
      </w:r>
      <w:r>
        <w:rPr>
          <w:rFonts w:asciiTheme="minorEastAsia" w:hAnsiTheme="minorEastAsia" w:eastAsiaTheme="minorEastAsia"/>
        </w:rPr>
        <w:t>15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"_Toc151217812" </w:instrText>
      </w:r>
      <w:r>
        <w:fldChar w:fldCharType="separate"/>
      </w:r>
      <w:r>
        <w:rPr>
          <w:rStyle w:val="53"/>
          <w:rFonts w:cs="黑体" w:asciiTheme="minorEastAsia" w:hAnsiTheme="minorEastAsia" w:eastAsiaTheme="minorEastAsia"/>
        </w:rPr>
        <w:t>5.2 入户空间</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_Toc151217812 \h </w:instrText>
      </w:r>
      <w:r>
        <w:rPr>
          <w:rFonts w:asciiTheme="minorEastAsia" w:hAnsiTheme="minorEastAsia" w:eastAsiaTheme="minorEastAsia"/>
        </w:rPr>
        <w:fldChar w:fldCharType="separate"/>
      </w:r>
      <w:r>
        <w:rPr>
          <w:rFonts w:asciiTheme="minorEastAsia" w:hAnsiTheme="minorEastAsia" w:eastAsiaTheme="minorEastAsia"/>
        </w:rPr>
        <w:t>15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"_Toc151217813" </w:instrText>
      </w:r>
      <w:r>
        <w:fldChar w:fldCharType="separate"/>
      </w:r>
      <w:r>
        <w:rPr>
          <w:rStyle w:val="53"/>
          <w:rFonts w:cs="黑体" w:asciiTheme="minorEastAsia" w:hAnsiTheme="minorEastAsia" w:eastAsiaTheme="minorEastAsia"/>
        </w:rPr>
        <w:t>5.3 起居室</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_Toc151217813 \h </w:instrText>
      </w:r>
      <w:r>
        <w:rPr>
          <w:rFonts w:asciiTheme="minorEastAsia" w:hAnsiTheme="minorEastAsia" w:eastAsiaTheme="minorEastAsia"/>
        </w:rPr>
        <w:fldChar w:fldCharType="separate"/>
      </w:r>
      <w:r>
        <w:rPr>
          <w:rFonts w:asciiTheme="minorEastAsia" w:hAnsiTheme="minorEastAsia" w:eastAsiaTheme="minorEastAsia"/>
        </w:rPr>
        <w:t>18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"_Toc151217814" </w:instrText>
      </w:r>
      <w:r>
        <w:fldChar w:fldCharType="separate"/>
      </w:r>
      <w:r>
        <w:rPr>
          <w:rStyle w:val="53"/>
          <w:rFonts w:cs="黑体" w:asciiTheme="minorEastAsia" w:hAnsiTheme="minorEastAsia" w:eastAsiaTheme="minorEastAsia"/>
        </w:rPr>
        <w:t>5.4 餐厅</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_Toc151217814 \h </w:instrText>
      </w:r>
      <w:r>
        <w:rPr>
          <w:rFonts w:asciiTheme="minorEastAsia" w:hAnsiTheme="minorEastAsia" w:eastAsiaTheme="minorEastAsia"/>
        </w:rPr>
        <w:fldChar w:fldCharType="separate"/>
      </w:r>
      <w:r>
        <w:rPr>
          <w:rFonts w:asciiTheme="minorEastAsia" w:hAnsiTheme="minorEastAsia" w:eastAsiaTheme="minorEastAsia"/>
        </w:rPr>
        <w:t>18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"_Toc151217815" </w:instrText>
      </w:r>
      <w:r>
        <w:fldChar w:fldCharType="separate"/>
      </w:r>
      <w:r>
        <w:rPr>
          <w:rStyle w:val="53"/>
          <w:rFonts w:cs="黑体" w:asciiTheme="minorEastAsia" w:hAnsiTheme="minorEastAsia" w:eastAsiaTheme="minorEastAsia"/>
        </w:rPr>
        <w:t>5.5 卧室</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_Toc151217815 \h </w:instrText>
      </w:r>
      <w:r>
        <w:rPr>
          <w:rFonts w:asciiTheme="minorEastAsia" w:hAnsiTheme="minorEastAsia" w:eastAsiaTheme="minorEastAsia"/>
        </w:rPr>
        <w:fldChar w:fldCharType="separate"/>
      </w:r>
      <w:r>
        <w:rPr>
          <w:rFonts w:asciiTheme="minorEastAsia" w:hAnsiTheme="minorEastAsia" w:eastAsiaTheme="minorEastAsia"/>
        </w:rPr>
        <w:t>19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"_Toc151217816" </w:instrText>
      </w:r>
      <w:r>
        <w:fldChar w:fldCharType="separate"/>
      </w:r>
      <w:r>
        <w:rPr>
          <w:rStyle w:val="53"/>
          <w:rFonts w:cs="黑体" w:asciiTheme="minorEastAsia" w:hAnsiTheme="minorEastAsia" w:eastAsiaTheme="minorEastAsia"/>
        </w:rPr>
        <w:t>5.6 厨房</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_Toc151217816 \h </w:instrText>
      </w:r>
      <w:r>
        <w:rPr>
          <w:rFonts w:asciiTheme="minorEastAsia" w:hAnsiTheme="minorEastAsia" w:eastAsiaTheme="minorEastAsia"/>
        </w:rPr>
        <w:fldChar w:fldCharType="separate"/>
      </w:r>
      <w:r>
        <w:rPr>
          <w:rFonts w:asciiTheme="minorEastAsia" w:hAnsiTheme="minorEastAsia" w:eastAsiaTheme="minorEastAsia"/>
        </w:rPr>
        <w:t>21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"_Toc151217817" </w:instrText>
      </w:r>
      <w:r>
        <w:fldChar w:fldCharType="separate"/>
      </w:r>
      <w:r>
        <w:rPr>
          <w:rStyle w:val="53"/>
          <w:rFonts w:cs="黑体" w:asciiTheme="minorEastAsia" w:hAnsiTheme="minorEastAsia" w:eastAsiaTheme="minorEastAsia"/>
        </w:rPr>
        <w:t>5.7 卫生间</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_Toc151217817 \h </w:instrText>
      </w:r>
      <w:r>
        <w:rPr>
          <w:rFonts w:asciiTheme="minorEastAsia" w:hAnsiTheme="minorEastAsia" w:eastAsiaTheme="minorEastAsia"/>
        </w:rPr>
        <w:fldChar w:fldCharType="separate"/>
      </w:r>
      <w:r>
        <w:rPr>
          <w:rFonts w:asciiTheme="minorEastAsia" w:hAnsiTheme="minorEastAsia" w:eastAsiaTheme="minorEastAsia"/>
        </w:rPr>
        <w:t>24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"_Toc151217818" </w:instrText>
      </w:r>
      <w:r>
        <w:fldChar w:fldCharType="separate"/>
      </w:r>
      <w:r>
        <w:rPr>
          <w:rStyle w:val="53"/>
          <w:rFonts w:cs="黑体" w:asciiTheme="minorEastAsia" w:hAnsiTheme="minorEastAsia" w:eastAsiaTheme="minorEastAsia"/>
        </w:rPr>
        <w:t>5.8 阳台</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_Toc151217818 \h </w:instrText>
      </w:r>
      <w:r>
        <w:rPr>
          <w:rFonts w:asciiTheme="minorEastAsia" w:hAnsiTheme="minorEastAsia" w:eastAsiaTheme="minorEastAsia"/>
        </w:rPr>
        <w:fldChar w:fldCharType="separate"/>
      </w:r>
      <w:r>
        <w:rPr>
          <w:rFonts w:asciiTheme="minorEastAsia" w:hAnsiTheme="minorEastAsia" w:eastAsiaTheme="minorEastAsia"/>
        </w:rPr>
        <w:t>27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rPr>
          <w:rFonts w:asciiTheme="minorEastAsia" w:hAnsiTheme="minorEastAsia" w:eastAsiaTheme="minorEastAsia" w:cstheme="minorBidi"/>
          <w:bCs w:val="0"/>
          <w:kern w:val="2"/>
          <w:sz w:val="21"/>
          <w:szCs w:val="22"/>
        </w:rPr>
      </w:pPr>
      <w:r>
        <w:fldChar w:fldCharType="begin"/>
      </w:r>
      <w:r>
        <w:instrText xml:space="preserve"> HYPERLINK \l "_Toc151217819" </w:instrText>
      </w:r>
      <w:r>
        <w:fldChar w:fldCharType="separate"/>
      </w:r>
      <w:r>
        <w:rPr>
          <w:rStyle w:val="53"/>
          <w:rFonts w:cs="黑体" w:asciiTheme="minorEastAsia" w:hAnsiTheme="minorEastAsia" w:eastAsiaTheme="minorEastAsia"/>
          <w:b/>
        </w:rPr>
        <w:t>6 小区服务</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_Toc151217819 \h </w:instrText>
      </w:r>
      <w:r>
        <w:rPr>
          <w:rFonts w:asciiTheme="minorEastAsia" w:hAnsiTheme="minorEastAsia" w:eastAsiaTheme="minorEastAsia"/>
        </w:rPr>
        <w:fldChar w:fldCharType="separate"/>
      </w:r>
      <w:r>
        <w:rPr>
          <w:rFonts w:asciiTheme="minorEastAsia" w:hAnsiTheme="minorEastAsia" w:eastAsiaTheme="minorEastAsia"/>
        </w:rPr>
        <w:t>29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rPr>
          <w:rFonts w:asciiTheme="minorEastAsia" w:hAnsiTheme="minorEastAsia" w:eastAsiaTheme="minorEastAsia" w:cstheme="minorBidi"/>
          <w:bCs w:val="0"/>
          <w:kern w:val="2"/>
          <w:sz w:val="21"/>
          <w:szCs w:val="22"/>
        </w:rPr>
      </w:pPr>
      <w:r>
        <w:fldChar w:fldCharType="begin"/>
      </w:r>
      <w:r>
        <w:instrText xml:space="preserve"> HYPERLINK \l "_Toc151217820" </w:instrText>
      </w:r>
      <w:r>
        <w:fldChar w:fldCharType="separate"/>
      </w:r>
      <w:r>
        <w:rPr>
          <w:rStyle w:val="53"/>
          <w:rFonts w:cs="黑体" w:asciiTheme="minorEastAsia" w:hAnsiTheme="minorEastAsia" w:eastAsiaTheme="minorEastAsia"/>
          <w:b/>
        </w:rPr>
        <w:t>7 信息辅助智能化</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_Toc151217820 \h </w:instrText>
      </w:r>
      <w:r>
        <w:rPr>
          <w:rFonts w:asciiTheme="minorEastAsia" w:hAnsiTheme="minorEastAsia" w:eastAsiaTheme="minorEastAsia"/>
        </w:rPr>
        <w:fldChar w:fldCharType="separate"/>
      </w:r>
      <w:r>
        <w:rPr>
          <w:rFonts w:asciiTheme="minorEastAsia" w:hAnsiTheme="minorEastAsia" w:eastAsiaTheme="minorEastAsia"/>
        </w:rPr>
        <w:t>31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"_Toc151217821" </w:instrText>
      </w:r>
      <w:r>
        <w:fldChar w:fldCharType="separate"/>
      </w:r>
      <w:r>
        <w:rPr>
          <w:rStyle w:val="53"/>
          <w:rFonts w:cs="黑体" w:asciiTheme="minorEastAsia" w:hAnsiTheme="minorEastAsia" w:eastAsiaTheme="minorEastAsia"/>
        </w:rPr>
        <w:t>7.1 应急求助系统</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_Toc151217821 \h </w:instrText>
      </w:r>
      <w:r>
        <w:rPr>
          <w:rFonts w:asciiTheme="minorEastAsia" w:hAnsiTheme="minorEastAsia" w:eastAsiaTheme="minorEastAsia"/>
        </w:rPr>
        <w:fldChar w:fldCharType="separate"/>
      </w:r>
      <w:r>
        <w:rPr>
          <w:rFonts w:asciiTheme="minorEastAsia" w:hAnsiTheme="minorEastAsia" w:eastAsiaTheme="minorEastAsia"/>
        </w:rPr>
        <w:t>31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ind w:firstLine="480" w:firstLineChars="200"/>
        <w:rPr>
          <w:rFonts w:asciiTheme="minorEastAsia" w:hAnsiTheme="minorEastAsia" w:eastAsiaTheme="minorEastAsia" w:cstheme="minorBidi"/>
          <w:kern w:val="2"/>
          <w:sz w:val="21"/>
          <w:szCs w:val="22"/>
        </w:rPr>
      </w:pPr>
      <w:r>
        <w:fldChar w:fldCharType="begin"/>
      </w:r>
      <w:r>
        <w:instrText xml:space="preserve"> HYPERLINK \l "_Toc151217822" </w:instrText>
      </w:r>
      <w:r>
        <w:fldChar w:fldCharType="separate"/>
      </w:r>
      <w:r>
        <w:rPr>
          <w:rStyle w:val="53"/>
          <w:rFonts w:cs="黑体" w:asciiTheme="minorEastAsia" w:hAnsiTheme="minorEastAsia" w:eastAsiaTheme="minorEastAsia"/>
        </w:rPr>
        <w:t>7.2 智能化系统</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_Toc151217822 \h </w:instrText>
      </w:r>
      <w:r>
        <w:rPr>
          <w:rFonts w:asciiTheme="minorEastAsia" w:hAnsiTheme="minorEastAsia" w:eastAsiaTheme="minorEastAsia"/>
        </w:rPr>
        <w:fldChar w:fldCharType="separate"/>
      </w:r>
      <w:r>
        <w:rPr>
          <w:rFonts w:asciiTheme="minorEastAsia" w:hAnsiTheme="minorEastAsia" w:eastAsiaTheme="minorEastAsia"/>
        </w:rPr>
        <w:t>31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rPr>
          <w:rFonts w:asciiTheme="minorEastAsia" w:hAnsiTheme="minorEastAsia" w:eastAsiaTheme="minorEastAsia" w:cstheme="minorBidi"/>
          <w:bCs w:val="0"/>
          <w:kern w:val="2"/>
          <w:sz w:val="21"/>
          <w:szCs w:val="22"/>
        </w:rPr>
      </w:pPr>
      <w:r>
        <w:fldChar w:fldCharType="begin"/>
      </w:r>
      <w:r>
        <w:instrText xml:space="preserve"> HYPERLINK \l "_Toc151217823" </w:instrText>
      </w:r>
      <w:r>
        <w:fldChar w:fldCharType="separate"/>
      </w:r>
      <w:r>
        <w:rPr>
          <w:rStyle w:val="53"/>
          <w:rFonts w:cs="黑体" w:asciiTheme="minorEastAsia" w:hAnsiTheme="minorEastAsia" w:eastAsiaTheme="minorEastAsia"/>
          <w:b/>
        </w:rPr>
        <w:t>附录 适老化住宅和小区建设技术指标推荐性分级</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_Toc151217823 \h </w:instrText>
      </w:r>
      <w:r>
        <w:rPr>
          <w:rFonts w:asciiTheme="minorEastAsia" w:hAnsiTheme="minorEastAsia" w:eastAsiaTheme="minorEastAsia"/>
        </w:rPr>
        <w:fldChar w:fldCharType="separate"/>
      </w:r>
      <w:r>
        <w:rPr>
          <w:rFonts w:asciiTheme="minorEastAsia" w:hAnsiTheme="minorEastAsia" w:eastAsiaTheme="minorEastAsia"/>
        </w:rPr>
        <w:t>33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0"/>
        <w:spacing w:line="400" w:lineRule="exact"/>
        <w:rPr>
          <w:rFonts w:asciiTheme="minorEastAsia" w:hAnsiTheme="minorEastAsia" w:eastAsiaTheme="minorEastAsia" w:cstheme="minorBidi"/>
          <w:bCs w:val="0"/>
          <w:kern w:val="2"/>
          <w:sz w:val="21"/>
          <w:szCs w:val="22"/>
        </w:rPr>
      </w:pPr>
      <w:r>
        <w:fldChar w:fldCharType="begin"/>
      </w:r>
      <w:r>
        <w:instrText xml:space="preserve"> HYPERLINK \l "_Toc151217824" </w:instrText>
      </w:r>
      <w:r>
        <w:fldChar w:fldCharType="separate"/>
      </w:r>
      <w:r>
        <w:rPr>
          <w:rStyle w:val="53"/>
          <w:rFonts w:cs="黑体" w:asciiTheme="minorEastAsia" w:hAnsiTheme="minorEastAsia" w:eastAsiaTheme="minorEastAsia"/>
          <w:b/>
        </w:rPr>
        <w:t>引用标准名录</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_Toc151217824 \h </w:instrText>
      </w:r>
      <w:r>
        <w:rPr>
          <w:rFonts w:asciiTheme="minorEastAsia" w:hAnsiTheme="minorEastAsia" w:eastAsiaTheme="minorEastAsia"/>
        </w:rPr>
        <w:fldChar w:fldCharType="separate"/>
      </w:r>
      <w:r>
        <w:rPr>
          <w:rFonts w:asciiTheme="minorEastAsia" w:hAnsiTheme="minorEastAsia" w:eastAsiaTheme="minorEastAsia"/>
        </w:rPr>
        <w:t>37</w:t>
      </w:r>
      <w:r>
        <w:rPr>
          <w:rFonts w:asciiTheme="minorEastAsia" w:hAnsiTheme="minorEastAsia" w:eastAsiaTheme="minorEastAsia"/>
        </w:rPr>
        <w:fldChar w:fldCharType="end"/>
      </w:r>
      <w:r>
        <w:rPr>
          <w:rFonts w:asciiTheme="minorEastAsia" w:hAnsiTheme="minorEastAsia" w:eastAsiaTheme="minorEastAsia"/>
        </w:rPr>
        <w:fldChar w:fldCharType="end"/>
      </w:r>
    </w:p>
    <w:p>
      <w:pPr>
        <w:spacing w:line="400" w:lineRule="exact"/>
        <w:rPr>
          <w:rFonts w:ascii="宋体" w:hAnsi="宋体" w:cs="宋体"/>
        </w:rPr>
      </w:pPr>
      <w:r>
        <w:rPr>
          <w:rFonts w:hint="eastAsia" w:cs="宋体" w:asciiTheme="minorEastAsia" w:hAnsiTheme="minorEastAsia" w:eastAsiaTheme="minorEastAsia"/>
          <w:b/>
          <w:sz w:val="24"/>
          <w:szCs w:val="24"/>
          <w:lang w:val="zh-CN"/>
        </w:rPr>
        <w:fldChar w:fldCharType="end"/>
      </w:r>
    </w:p>
    <w:p>
      <w:pPr>
        <w:tabs>
          <w:tab w:val="right" w:leader="dot" w:pos="8306"/>
        </w:tabs>
        <w:spacing w:before="187" w:beforeLines="60" w:after="187" w:afterLines="60" w:line="360" w:lineRule="auto"/>
        <w:jc w:val="center"/>
        <w:rPr>
          <w:rFonts w:ascii="宋体" w:hAnsi="宋体" w:cs="宋体"/>
          <w:bCs/>
          <w:sz w:val="24"/>
          <w:szCs w:val="24"/>
        </w:rPr>
      </w:pPr>
    </w:p>
    <w:p>
      <w:pPr>
        <w:widowControl/>
        <w:spacing w:before="187" w:beforeLines="60" w:after="187" w:afterLines="60" w:line="360" w:lineRule="auto"/>
        <w:jc w:val="left"/>
        <w:rPr>
          <w:rFonts w:ascii="宋体" w:hAnsi="宋体" w:cs="宋体"/>
          <w:bCs/>
          <w:sz w:val="24"/>
          <w:szCs w:val="24"/>
        </w:rPr>
        <w:sectPr>
          <w:footerReference r:id="rId5" w:type="default"/>
          <w:pgSz w:w="11906" w:h="16838"/>
          <w:pgMar w:top="1440" w:right="1800" w:bottom="1440" w:left="1800" w:header="851" w:footer="992" w:gutter="0"/>
          <w:pgNumType w:start="1"/>
          <w:cols w:space="720" w:num="1"/>
          <w:docGrid w:type="lines" w:linePitch="312" w:charSpace="0"/>
        </w:sectPr>
      </w:pPr>
      <w:r>
        <w:rPr>
          <w:rFonts w:hint="eastAsia" w:ascii="宋体" w:hAnsi="宋体" w:cs="宋体"/>
          <w:bCs/>
          <w:sz w:val="24"/>
          <w:szCs w:val="24"/>
        </w:rPr>
        <w:br w:type="page"/>
      </w:r>
    </w:p>
    <w:p>
      <w:pPr>
        <w:keepNext/>
        <w:keepLines/>
        <w:numPr>
          <w:ilvl w:val="0"/>
          <w:numId w:val="5"/>
        </w:numPr>
        <w:spacing w:before="187" w:beforeLines="60" w:after="187" w:afterLines="60" w:line="400" w:lineRule="exact"/>
        <w:jc w:val="center"/>
        <w:outlineLvl w:val="0"/>
        <w:rPr>
          <w:rFonts w:ascii="黑体" w:hAnsi="黑体" w:eastAsia="黑体" w:cs="黑体"/>
          <w:b/>
          <w:bCs/>
          <w:kern w:val="44"/>
          <w:sz w:val="32"/>
          <w:szCs w:val="32"/>
        </w:rPr>
      </w:pPr>
      <w:bookmarkStart w:id="3" w:name="_Toc469479170"/>
      <w:bookmarkStart w:id="4" w:name="_Toc470076045"/>
      <w:bookmarkStart w:id="5" w:name="_Toc110528394"/>
      <w:bookmarkStart w:id="6" w:name="_Toc470078532"/>
      <w:bookmarkStart w:id="7" w:name="_Toc470076472"/>
      <w:bookmarkStart w:id="8" w:name="_Toc469315331"/>
      <w:bookmarkStart w:id="9" w:name="_Toc32843042"/>
      <w:bookmarkStart w:id="10" w:name="_Toc151217798"/>
      <w:bookmarkStart w:id="11" w:name="_Toc469559002"/>
      <w:bookmarkStart w:id="12" w:name="_Toc469315251"/>
      <w:bookmarkStart w:id="13" w:name="_Toc469315256"/>
      <w:bookmarkStart w:id="14" w:name="_Toc466629230"/>
      <w:bookmarkStart w:id="15" w:name="_Toc469479175"/>
      <w:bookmarkStart w:id="16" w:name="_Toc466638773"/>
      <w:bookmarkStart w:id="17" w:name="_Toc466628862"/>
      <w:bookmarkStart w:id="18" w:name="_Toc469315336"/>
      <w:r>
        <w:rPr>
          <w:rFonts w:hint="eastAsia" w:ascii="黑体" w:hAnsi="黑体" w:eastAsia="黑体" w:cs="黑体"/>
          <w:b/>
          <w:bCs/>
          <w:kern w:val="44"/>
          <w:sz w:val="32"/>
          <w:szCs w:val="32"/>
        </w:rPr>
        <w:t>总则</w:t>
      </w:r>
      <w:bookmarkEnd w:id="3"/>
      <w:bookmarkEnd w:id="4"/>
      <w:bookmarkEnd w:id="5"/>
      <w:bookmarkEnd w:id="6"/>
      <w:bookmarkEnd w:id="7"/>
      <w:bookmarkEnd w:id="8"/>
      <w:bookmarkEnd w:id="9"/>
      <w:bookmarkEnd w:id="10"/>
      <w:bookmarkEnd w:id="11"/>
      <w:bookmarkEnd w:id="12"/>
    </w:p>
    <w:p>
      <w:pPr>
        <w:numPr>
          <w:ilvl w:val="2"/>
          <w:numId w:val="6"/>
        </w:numPr>
        <w:spacing w:line="400" w:lineRule="exact"/>
        <w:ind w:left="0" w:firstLine="0"/>
        <w:rPr>
          <w:rFonts w:ascii="宋体" w:hAnsi="宋体" w:cs="宋体"/>
          <w:sz w:val="24"/>
          <w:szCs w:val="24"/>
        </w:rPr>
      </w:pPr>
      <w:r>
        <w:rPr>
          <w:rFonts w:hint="eastAsia" w:ascii="宋体" w:hAnsi="宋体" w:cs="宋体"/>
          <w:sz w:val="24"/>
          <w:szCs w:val="24"/>
        </w:rPr>
        <w:t>为适应我市人口老龄化趋势，实施积极应对人口老龄化，促进居住建筑建设适应适老化发展，使老年人居住的环境、空间、设施等方面与老年人的身体机能与行动特点相适应，满足老年人生理、心理及生活服务方面的特殊需求，改善老年人居家养老的居住环境，制定本指南。</w:t>
      </w:r>
    </w:p>
    <w:p>
      <w:pPr>
        <w:numPr>
          <w:ilvl w:val="2"/>
          <w:numId w:val="6"/>
        </w:numPr>
        <w:spacing w:line="400" w:lineRule="exact"/>
        <w:ind w:left="0" w:firstLine="0"/>
        <w:rPr>
          <w:rFonts w:ascii="宋体" w:hAnsi="宋体" w:cs="宋体"/>
          <w:sz w:val="24"/>
          <w:szCs w:val="24"/>
        </w:rPr>
      </w:pPr>
      <w:r>
        <w:rPr>
          <w:rFonts w:hint="eastAsia" w:ascii="宋体" w:hAnsi="宋体" w:cs="宋体"/>
          <w:sz w:val="24"/>
          <w:szCs w:val="24"/>
        </w:rPr>
        <w:t>本指南适用于新建适老化住宅与小区建设。既有小区及住宅改造可参照使用。</w:t>
      </w:r>
    </w:p>
    <w:p>
      <w:pPr>
        <w:numPr>
          <w:ilvl w:val="2"/>
          <w:numId w:val="6"/>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t>适老化住宅和小区建设应适应以居家社区机构相协调、医养康养相结合的养老服务体系，体现对老年人健康状况、自理能力和护理需求的适应性，提高老年人的生活质量。</w:t>
      </w:r>
    </w:p>
    <w:p>
      <w:pPr>
        <w:numPr>
          <w:ilvl w:val="2"/>
          <w:numId w:val="6"/>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t>适老化住宅和小区建设除执行本指南外，应符合国家现行相关规范、标准的规定。</w:t>
      </w:r>
    </w:p>
    <w:p>
      <w:pPr>
        <w:numPr>
          <w:ilvl w:val="2"/>
          <w:numId w:val="6"/>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t xml:space="preserve">新建适老化住宅和小区的建设应满足武汉市相关政策法规要求。 </w:t>
      </w:r>
    </w:p>
    <w:p>
      <w:pPr>
        <w:spacing w:before="187" w:beforeLines="60" w:after="187" w:afterLines="60" w:line="400" w:lineRule="exact"/>
        <w:ind w:firstLine="480" w:firstLineChars="200"/>
        <w:rPr>
          <w:rFonts w:ascii="宋体" w:hAnsi="宋体" w:cs="宋体"/>
          <w:sz w:val="24"/>
          <w:szCs w:val="24"/>
        </w:rPr>
      </w:pPr>
      <w:r>
        <w:rPr>
          <w:rFonts w:hint="eastAsia" w:ascii="宋体" w:hAnsi="宋体" w:cs="宋体"/>
          <w:sz w:val="24"/>
          <w:szCs w:val="24"/>
        </w:rPr>
        <w:br w:type="page"/>
      </w:r>
    </w:p>
    <w:p>
      <w:pPr>
        <w:keepNext/>
        <w:keepLines/>
        <w:numPr>
          <w:ilvl w:val="0"/>
          <w:numId w:val="5"/>
        </w:numPr>
        <w:spacing w:before="187" w:beforeLines="60" w:after="187" w:afterLines="60" w:line="400" w:lineRule="exact"/>
        <w:jc w:val="center"/>
        <w:outlineLvl w:val="0"/>
        <w:rPr>
          <w:rFonts w:ascii="黑体" w:hAnsi="黑体" w:eastAsia="黑体" w:cs="黑体"/>
          <w:b/>
          <w:bCs/>
          <w:kern w:val="44"/>
          <w:sz w:val="32"/>
          <w:szCs w:val="32"/>
        </w:rPr>
      </w:pPr>
      <w:bookmarkStart w:id="19" w:name="_Toc151217799"/>
      <w:r>
        <w:rPr>
          <w:rFonts w:hint="eastAsia" w:ascii="黑体" w:hAnsi="黑体" w:eastAsia="黑体" w:cs="黑体"/>
          <w:b/>
          <w:bCs/>
          <w:kern w:val="44"/>
          <w:sz w:val="32"/>
          <w:szCs w:val="32"/>
        </w:rPr>
        <w:t>基本要求</w:t>
      </w:r>
      <w:bookmarkEnd w:id="19"/>
    </w:p>
    <w:p>
      <w:pPr>
        <w:numPr>
          <w:ilvl w:val="2"/>
          <w:numId w:val="7"/>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t>适老化用房建设应遵循安全性、功能性、舒适性、前瞻性原则。</w:t>
      </w:r>
    </w:p>
    <w:p>
      <w:pPr>
        <w:numPr>
          <w:ilvl w:val="2"/>
          <w:numId w:val="7"/>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t>适老化用房建设应关注老年人的心理需求，注重老年人与家人、邻里、社区的交流，提供人性化尺度的环境，增强家庭归属感，增进邻里感和社区参与感。</w:t>
      </w:r>
    </w:p>
    <w:p>
      <w:pPr>
        <w:numPr>
          <w:ilvl w:val="2"/>
          <w:numId w:val="7"/>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t>适老化用房建设应基于老年人群体的个体差异、身体机能、心理需求等各个方面的特点设置有针对性的标识引导系统、灯光照明系统、安全监控系统、应急呼叫系统、物联及数字网络信息管理系统。</w:t>
      </w:r>
    </w:p>
    <w:p>
      <w:pPr>
        <w:numPr>
          <w:ilvl w:val="2"/>
          <w:numId w:val="7"/>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t>适老化用房应合理</w:t>
      </w:r>
      <w:r>
        <w:rPr>
          <w:rFonts w:hint="eastAsia" w:ascii="宋体" w:hAnsi="宋体" w:cs="宋体"/>
          <w:kern w:val="0"/>
          <w:sz w:val="24"/>
          <w:szCs w:val="24"/>
        </w:rPr>
        <w:t>合理应用智慧技术</w:t>
      </w:r>
      <w:r>
        <w:rPr>
          <w:rFonts w:hint="eastAsia" w:ascii="宋体" w:hAnsi="宋体" w:cs="宋体"/>
          <w:sz w:val="24"/>
          <w:szCs w:val="24"/>
        </w:rPr>
        <w:t>，并为其预留安装条件，鼓励将人工智能、物联网、大数据等新兴技术应用于养老服务，系统应操作简单、性能可靠、安装维护方便，并充分考虑其发展需要。</w:t>
      </w:r>
    </w:p>
    <w:p>
      <w:pPr>
        <w:numPr>
          <w:ilvl w:val="2"/>
          <w:numId w:val="7"/>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t>适老化用房建设应选用满足安全、绿色、节能、环保要求的材料及设备。</w:t>
      </w:r>
    </w:p>
    <w:p>
      <w:pPr>
        <w:widowControl/>
        <w:spacing w:before="187" w:beforeLines="60" w:after="187" w:afterLines="60" w:line="400" w:lineRule="exact"/>
        <w:jc w:val="left"/>
        <w:rPr>
          <w:rFonts w:ascii="宋体" w:hAnsi="宋体" w:cs="宋体"/>
          <w:sz w:val="24"/>
          <w:szCs w:val="21"/>
        </w:rPr>
      </w:pPr>
      <w:r>
        <w:rPr>
          <w:rFonts w:hint="eastAsia" w:ascii="宋体" w:hAnsi="宋体" w:cs="宋体"/>
          <w:sz w:val="24"/>
          <w:szCs w:val="21"/>
        </w:rPr>
        <w:br w:type="page"/>
      </w:r>
    </w:p>
    <w:bookmarkEnd w:id="13"/>
    <w:bookmarkEnd w:id="14"/>
    <w:bookmarkEnd w:id="15"/>
    <w:bookmarkEnd w:id="16"/>
    <w:bookmarkEnd w:id="17"/>
    <w:bookmarkEnd w:id="18"/>
    <w:p>
      <w:pPr>
        <w:keepNext/>
        <w:keepLines/>
        <w:numPr>
          <w:ilvl w:val="0"/>
          <w:numId w:val="5"/>
        </w:numPr>
        <w:spacing w:before="187" w:beforeLines="60" w:after="187" w:afterLines="60" w:line="400" w:lineRule="exact"/>
        <w:jc w:val="center"/>
        <w:outlineLvl w:val="0"/>
        <w:rPr>
          <w:rFonts w:ascii="黑体" w:hAnsi="黑体" w:eastAsia="黑体" w:cs="黑体"/>
          <w:b/>
          <w:bCs/>
          <w:kern w:val="44"/>
          <w:sz w:val="32"/>
          <w:szCs w:val="32"/>
        </w:rPr>
      </w:pPr>
      <w:bookmarkStart w:id="20" w:name="_Toc151217800"/>
      <w:r>
        <w:rPr>
          <w:rFonts w:hint="eastAsia" w:ascii="黑体" w:hAnsi="黑体" w:eastAsia="黑体" w:cs="黑体"/>
          <w:b/>
          <w:bCs/>
          <w:kern w:val="44"/>
          <w:sz w:val="32"/>
          <w:szCs w:val="32"/>
        </w:rPr>
        <w:t>小区公共环境</w:t>
      </w:r>
      <w:bookmarkEnd w:id="20"/>
    </w:p>
    <w:p>
      <w:pPr>
        <w:keepNext/>
        <w:keepLines/>
        <w:numPr>
          <w:ilvl w:val="1"/>
          <w:numId w:val="5"/>
        </w:numPr>
        <w:spacing w:before="187" w:beforeLines="60" w:after="187" w:afterLines="60" w:line="400" w:lineRule="exact"/>
        <w:jc w:val="center"/>
        <w:outlineLvl w:val="0"/>
        <w:rPr>
          <w:rFonts w:ascii="黑体" w:hAnsi="黑体" w:eastAsia="黑体" w:cs="黑体"/>
          <w:b/>
          <w:bCs/>
          <w:kern w:val="44"/>
          <w:sz w:val="32"/>
          <w:szCs w:val="32"/>
        </w:rPr>
      </w:pPr>
      <w:bookmarkStart w:id="21" w:name="_Toc151217801"/>
      <w:r>
        <w:rPr>
          <w:rFonts w:hint="eastAsia" w:ascii="黑体" w:hAnsi="黑体" w:eastAsia="黑体" w:cs="黑体"/>
          <w:b/>
          <w:bCs/>
          <w:kern w:val="44"/>
          <w:sz w:val="32"/>
          <w:szCs w:val="32"/>
        </w:rPr>
        <w:t>道路交通</w:t>
      </w:r>
      <w:bookmarkEnd w:id="21"/>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小区内部道路交通系统应布局明确，道路应人车分流，动线清晰，宜根据小区内老人出行的实际需要进行优化梳理，优化路网结构，防止尽端路，缩短内部通行距离。道路布局应保障住区内各个区域的可达性与可识性，道路之间应有明显的方向指引标志。</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小区车行道路应简洁流畅，方便救护车、消防车通行，且能顺畅到达所需停靠的建筑出入口。建筑单元入口必须保证救护车停放及回转要求。</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小区车行道在出入口、交叉口和道路转弯处应设置减速带、安全岛和明显的标识。</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 xml:space="preserve">机动车道路宜采用低噪或降噪路面。 </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 xml:space="preserve">小区内的步行系统宜独立完整。步行系统应覆盖老年人活动的所有场地、建筑，避免出现无路可走、可见不可达的情况。供步行的出入口宽度不应小于1.2米，以满足轮椅通行的需求。 </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 xml:space="preserve">小区内的步行系统应地面平坦，避免高差，有高差处应以缓坡过渡，保证无障碍通行。如必须设置台阶，应有明显的色彩变化和警示标志，要避免单级台阶。有台阶处宜做扶手。 </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小区主要步行通道上宜设置避雨设施，包括雨篷，风雨廊等。亦可结合供老人停靠休息用的栏杆，座椅等一并设置。供老人停靠休息用的栏杆高度宜为75～85cm。</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 xml:space="preserve">小区内步行系统的缘石坡道的设计应满足无障碍设计的要求。缘石边角应采用圆弧或切角形式，不应采用直角形式。 </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 xml:space="preserve">小区道路铺装宜选用平整、防滑、耐磨、耐压、透水性好、色彩鲜明的铺装材料，并保证施工平整度。 </w:t>
      </w:r>
    </w:p>
    <w:p>
      <w:pPr>
        <w:autoSpaceDE w:val="0"/>
        <w:autoSpaceDN w:val="0"/>
        <w:adjustRightInd w:val="0"/>
        <w:spacing w:line="400" w:lineRule="exact"/>
        <w:jc w:val="left"/>
        <w:rPr>
          <w:rFonts w:ascii="宋体" w:hAnsi="宋体" w:cs="宋体"/>
          <w:sz w:val="24"/>
          <w:szCs w:val="24"/>
        </w:rPr>
      </w:pPr>
    </w:p>
    <w:p>
      <w:pPr>
        <w:keepNext/>
        <w:keepLines/>
        <w:numPr>
          <w:ilvl w:val="1"/>
          <w:numId w:val="5"/>
        </w:numPr>
        <w:spacing w:before="187" w:beforeLines="60" w:after="187" w:afterLines="60" w:line="400" w:lineRule="exact"/>
        <w:jc w:val="center"/>
        <w:outlineLvl w:val="0"/>
        <w:rPr>
          <w:rFonts w:ascii="黑体" w:hAnsi="黑体" w:eastAsia="黑体" w:cs="黑体"/>
          <w:b/>
          <w:bCs/>
          <w:kern w:val="44"/>
          <w:sz w:val="32"/>
          <w:szCs w:val="32"/>
        </w:rPr>
      </w:pPr>
      <w:bookmarkStart w:id="22" w:name="_Toc151217802"/>
      <w:r>
        <w:rPr>
          <w:rFonts w:hint="eastAsia" w:ascii="黑体" w:hAnsi="黑体" w:eastAsia="黑体" w:cs="黑体"/>
          <w:b/>
          <w:bCs/>
          <w:kern w:val="44"/>
          <w:sz w:val="32"/>
          <w:szCs w:val="32"/>
        </w:rPr>
        <w:t>停车场地</w:t>
      </w:r>
      <w:bookmarkEnd w:id="22"/>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适老化住宅小区应在地面设置适老化兼无障碍机动车停车位，且应符合下列规定。（图3</w:t>
      </w:r>
      <w:r>
        <w:rPr>
          <w:rFonts w:cs="黑体" w:asciiTheme="minorEastAsia" w:hAnsiTheme="minorEastAsia" w:eastAsiaTheme="minorEastAsia"/>
          <w:kern w:val="44"/>
          <w:sz w:val="24"/>
          <w:szCs w:val="24"/>
        </w:rPr>
        <w:t>.2.1</w:t>
      </w:r>
      <w:r>
        <w:rPr>
          <w:rFonts w:hint="eastAsia" w:cs="黑体" w:asciiTheme="minorEastAsia" w:hAnsiTheme="minorEastAsia" w:eastAsiaTheme="minorEastAsia"/>
          <w:kern w:val="44"/>
          <w:sz w:val="24"/>
          <w:szCs w:val="24"/>
        </w:rPr>
        <w:t>）</w:t>
      </w:r>
    </w:p>
    <w:p>
      <w:pPr>
        <w:pStyle w:val="104"/>
        <w:numPr>
          <w:ilvl w:val="0"/>
          <w:numId w:val="8"/>
        </w:numPr>
        <w:autoSpaceDE w:val="0"/>
        <w:autoSpaceDN w:val="0"/>
        <w:spacing w:line="400" w:lineRule="exact"/>
        <w:ind w:left="0" w:firstLine="0" w:firstLineChars="0"/>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机动车位应靠近建筑主要出入口，并应设置明显的标识；</w:t>
      </w:r>
    </w:p>
    <w:p>
      <w:pPr>
        <w:pStyle w:val="104"/>
        <w:numPr>
          <w:ilvl w:val="0"/>
          <w:numId w:val="8"/>
        </w:numPr>
        <w:autoSpaceDE w:val="0"/>
        <w:autoSpaceDN w:val="0"/>
        <w:spacing w:line="400" w:lineRule="exact"/>
        <w:ind w:left="0" w:firstLine="0" w:firstLineChars="0"/>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机动车位的地面应平整、防滑、不积水，地面坡度不应大于</w:t>
      </w:r>
      <w:r>
        <w:rPr>
          <w:rFonts w:cs="黑体" w:asciiTheme="minorEastAsia" w:hAnsiTheme="minorEastAsia" w:eastAsiaTheme="minorEastAsia"/>
          <w:kern w:val="44"/>
          <w:sz w:val="24"/>
          <w:szCs w:val="24"/>
        </w:rPr>
        <w:t>2%</w:t>
      </w:r>
      <w:r>
        <w:rPr>
          <w:rFonts w:hint="eastAsia" w:cs="黑体" w:asciiTheme="minorEastAsia" w:hAnsiTheme="minorEastAsia" w:eastAsiaTheme="minorEastAsia"/>
          <w:kern w:val="44"/>
          <w:sz w:val="24"/>
          <w:szCs w:val="24"/>
        </w:rPr>
        <w:t>；</w:t>
      </w:r>
    </w:p>
    <w:p>
      <w:pPr>
        <w:pStyle w:val="104"/>
        <w:numPr>
          <w:ilvl w:val="0"/>
          <w:numId w:val="8"/>
        </w:numPr>
        <w:autoSpaceDE w:val="0"/>
        <w:autoSpaceDN w:val="0"/>
        <w:spacing w:line="400" w:lineRule="exact"/>
        <w:ind w:left="0" w:firstLine="0" w:firstLineChars="0"/>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drawing>
          <wp:anchor distT="0" distB="0" distL="114300" distR="114300" simplePos="0" relativeHeight="251659264" behindDoc="0" locked="0" layoutInCell="1" allowOverlap="1">
            <wp:simplePos x="0" y="0"/>
            <wp:positionH relativeFrom="margin">
              <wp:align>center</wp:align>
            </wp:positionH>
            <wp:positionV relativeFrom="paragraph">
              <wp:posOffset>511175</wp:posOffset>
            </wp:positionV>
            <wp:extent cx="4563745" cy="3265805"/>
            <wp:effectExtent l="0" t="0" r="8255" b="0"/>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8" cstate="print">
                      <a:extLst>
                        <a:ext uri="{28A0092B-C50C-407E-A947-70E740481C1C}">
                          <a14:useLocalDpi xmlns:a14="http://schemas.microsoft.com/office/drawing/2010/main" val="0"/>
                        </a:ext>
                      </a:extLst>
                    </a:blip>
                    <a:srcRect t="14261" b="14261"/>
                    <a:stretch>
                      <a:fillRect/>
                    </a:stretch>
                  </pic:blipFill>
                  <pic:spPr>
                    <a:xfrm>
                      <a:off x="0" y="0"/>
                      <a:ext cx="4563745" cy="3265805"/>
                    </a:xfrm>
                    <a:prstGeom prst="rect">
                      <a:avLst/>
                    </a:prstGeom>
                    <a:ln>
                      <a:noFill/>
                    </a:ln>
                  </pic:spPr>
                </pic:pic>
              </a:graphicData>
            </a:graphic>
          </wp:anchor>
        </w:drawing>
      </w:r>
      <w:r>
        <w:rPr>
          <w:rFonts w:hint="eastAsia" w:cs="黑体" w:asciiTheme="minorEastAsia" w:hAnsiTheme="minorEastAsia" w:eastAsiaTheme="minorEastAsia"/>
          <w:kern w:val="44"/>
          <w:sz w:val="24"/>
          <w:szCs w:val="24"/>
        </w:rPr>
        <w:t>机动车位一侧应设置宽度不小于1.20m的通道，通道应与符合适老化要求的人行道、出入口连接，并且能够通向建筑的门厅。</w:t>
      </w:r>
    </w:p>
    <w:p>
      <w:pPr>
        <w:autoSpaceDE w:val="0"/>
        <w:autoSpaceDN w:val="0"/>
        <w:adjustRightInd w:val="0"/>
        <w:spacing w:line="400" w:lineRule="exact"/>
        <w:jc w:val="center"/>
        <w:rPr>
          <w:rFonts w:ascii="宋体" w:hAnsi="宋体" w:cs="宋体"/>
          <w:szCs w:val="21"/>
        </w:rPr>
      </w:pPr>
      <w:r>
        <w:rPr>
          <w:rFonts w:hint="eastAsia" w:ascii="宋体" w:hAnsi="宋体" w:cs="宋体"/>
          <w:szCs w:val="21"/>
        </w:rPr>
        <w:t>图3.</w:t>
      </w:r>
      <w:r>
        <w:rPr>
          <w:rFonts w:ascii="宋体" w:hAnsi="宋体" w:cs="宋体"/>
          <w:szCs w:val="21"/>
        </w:rPr>
        <w:t>2</w:t>
      </w:r>
      <w:r>
        <w:rPr>
          <w:rFonts w:hint="eastAsia" w:ascii="宋体" w:hAnsi="宋体" w:cs="宋体"/>
          <w:szCs w:val="21"/>
        </w:rPr>
        <w:t>.</w:t>
      </w:r>
      <w:r>
        <w:rPr>
          <w:rFonts w:ascii="宋体" w:hAnsi="宋体" w:cs="宋体"/>
          <w:szCs w:val="21"/>
        </w:rPr>
        <w:t>1</w:t>
      </w:r>
    </w:p>
    <w:p>
      <w:pPr>
        <w:autoSpaceDE w:val="0"/>
        <w:autoSpaceDN w:val="0"/>
        <w:adjustRightInd w:val="0"/>
        <w:spacing w:line="400" w:lineRule="exact"/>
        <w:jc w:val="center"/>
        <w:rPr>
          <w:rFonts w:ascii="宋体" w:hAnsi="宋体" w:cs="宋体"/>
          <w:szCs w:val="21"/>
        </w:rPr>
      </w:pP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小区地下无障碍机动车位应设置在无障碍电梯附近。</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小区内应设置专供老年人使用的助老非机动车停车位，且宜满足遮雨遮阳的要求。非机动停车位内应设置充电桩，方便老年人使用。</w:t>
      </w:r>
    </w:p>
    <w:p>
      <w:pPr>
        <w:autoSpaceDE w:val="0"/>
        <w:autoSpaceDN w:val="0"/>
        <w:adjustRightInd w:val="0"/>
        <w:spacing w:line="400" w:lineRule="exact"/>
        <w:jc w:val="left"/>
        <w:rPr>
          <w:rFonts w:ascii="宋体" w:hAnsi="宋体" w:cs="宋体"/>
          <w:sz w:val="24"/>
          <w:szCs w:val="24"/>
        </w:rPr>
      </w:pPr>
    </w:p>
    <w:p>
      <w:pPr>
        <w:keepNext/>
        <w:keepLines/>
        <w:numPr>
          <w:ilvl w:val="1"/>
          <w:numId w:val="5"/>
        </w:numPr>
        <w:spacing w:before="187" w:beforeLines="60" w:after="187" w:afterLines="60" w:line="400" w:lineRule="exact"/>
        <w:jc w:val="center"/>
        <w:outlineLvl w:val="0"/>
        <w:rPr>
          <w:rFonts w:ascii="黑体" w:hAnsi="黑体" w:eastAsia="黑体" w:cs="黑体"/>
          <w:b/>
          <w:bCs/>
          <w:kern w:val="44"/>
          <w:sz w:val="32"/>
          <w:szCs w:val="32"/>
        </w:rPr>
      </w:pPr>
      <w:bookmarkStart w:id="23" w:name="_Toc151217803"/>
      <w:r>
        <w:rPr>
          <w:rFonts w:hint="eastAsia" w:ascii="黑体" w:hAnsi="黑体" w:eastAsia="黑体" w:cs="黑体"/>
          <w:b/>
          <w:bCs/>
          <w:kern w:val="44"/>
          <w:sz w:val="32"/>
          <w:szCs w:val="32"/>
        </w:rPr>
        <w:t>公共活动场地</w:t>
      </w:r>
      <w:bookmarkEnd w:id="23"/>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小区内应有专门供老年人活动的场地，场地宜设置在向阳避风处。</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老年人活动场地应平整、防滑、排水通畅。地面坡度不应大于</w:t>
      </w:r>
      <w:r>
        <w:rPr>
          <w:rFonts w:cs="黑体" w:asciiTheme="minorEastAsia" w:hAnsiTheme="minorEastAsia" w:eastAsiaTheme="minorEastAsia"/>
          <w:kern w:val="44"/>
          <w:sz w:val="24"/>
          <w:szCs w:val="24"/>
        </w:rPr>
        <w:t>2.5</w:t>
      </w:r>
      <w:r>
        <w:rPr>
          <w:rFonts w:hint="eastAsia" w:cs="黑体" w:asciiTheme="minorEastAsia" w:hAnsiTheme="minorEastAsia" w:eastAsiaTheme="minorEastAsia"/>
          <w:kern w:val="44"/>
          <w:sz w:val="24"/>
          <w:szCs w:val="24"/>
        </w:rPr>
        <w:t>%。</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供老年人活动的场地宜靠近小区的养老服务设施，并可与小区的公共绿地、儿童活动场地等结合设置。宜设置紧急送医通道，且通道能与救护车辆停靠场地相连。</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老年人活动场地宜根据活动内容进行动静分区，并设置健身器材、休息座椅、阅读栏等设施，满足老年人不同户外活动的需要。供老人使用的设施，边角应做成圆角或切角形式。</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老年人活动场地内应配置休息椅、遮阳和防雨设施，休息椅旁宜设置进深不小于1</w:t>
      </w:r>
      <w:r>
        <w:rPr>
          <w:rFonts w:cs="黑体" w:asciiTheme="minorEastAsia" w:hAnsiTheme="minorEastAsia" w:eastAsiaTheme="minorEastAsia"/>
          <w:kern w:val="44"/>
          <w:sz w:val="24"/>
          <w:szCs w:val="24"/>
        </w:rPr>
        <w:t>30</w:t>
      </w:r>
      <w:r>
        <w:rPr>
          <w:rFonts w:hint="eastAsia" w:cs="黑体" w:asciiTheme="minorEastAsia" w:hAnsiTheme="minorEastAsia" w:eastAsiaTheme="minorEastAsia"/>
          <w:kern w:val="44"/>
          <w:sz w:val="24"/>
          <w:szCs w:val="24"/>
        </w:rPr>
        <w:t>0mm，宽度不小于800mm的轮椅停放空间。休息椅旁宜设置放置拐杖的设施。椅子坐面高度宜为40～45cm，座椅两侧应安装扶手，座椅、扶手不宜采用金属材质。</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小区内如有供老年人使用的服务设施应为低位服务设施。服务设施的台面高度宜设为70～80cm，台面下方要有高65cm，进深45cm的空间。</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老年人使用的活动场地附近宜设置公共无障碍卫生间。</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老年人活动场地的周边应设置禁止机动车辆进入的装置，装置高度宜为40cm，装置的间隔为90cm以上，其中一个应满足120cm，以保证轮椅的通行。</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老年人活动场地应远离污染源、噪声源及危险品的生产储运等用地。</w:t>
      </w:r>
    </w:p>
    <w:p>
      <w:pPr>
        <w:autoSpaceDE w:val="0"/>
        <w:autoSpaceDN w:val="0"/>
        <w:adjustRightInd w:val="0"/>
        <w:spacing w:line="400" w:lineRule="exact"/>
        <w:jc w:val="left"/>
        <w:rPr>
          <w:rFonts w:ascii="宋体" w:hAnsi="宋体" w:cs="宋体"/>
          <w:sz w:val="24"/>
          <w:szCs w:val="24"/>
        </w:rPr>
      </w:pPr>
    </w:p>
    <w:p>
      <w:pPr>
        <w:keepNext/>
        <w:keepLines/>
        <w:numPr>
          <w:ilvl w:val="1"/>
          <w:numId w:val="5"/>
        </w:numPr>
        <w:spacing w:before="187" w:beforeLines="60" w:after="187" w:afterLines="60" w:line="400" w:lineRule="exact"/>
        <w:jc w:val="center"/>
        <w:outlineLvl w:val="0"/>
        <w:rPr>
          <w:rFonts w:ascii="黑体" w:hAnsi="黑体" w:eastAsia="黑体" w:cs="黑体"/>
          <w:b/>
          <w:bCs/>
          <w:kern w:val="44"/>
          <w:sz w:val="32"/>
          <w:szCs w:val="32"/>
        </w:rPr>
      </w:pPr>
      <w:bookmarkStart w:id="24" w:name="_Toc151217804"/>
      <w:r>
        <w:rPr>
          <w:rFonts w:hint="eastAsia" w:ascii="黑体" w:hAnsi="黑体" w:eastAsia="黑体" w:cs="黑体"/>
          <w:b/>
          <w:bCs/>
          <w:kern w:val="44"/>
          <w:sz w:val="32"/>
          <w:szCs w:val="32"/>
        </w:rPr>
        <w:t>绿化景观及其他设施</w:t>
      </w:r>
      <w:bookmarkEnd w:id="24"/>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小区绿化应根据季节交替选择适合的树种实现四季景观，不应种植带刺、有毒及根茎易露出地面的植物。不宜种植遮挡视线的树种和</w:t>
      </w:r>
      <w:r>
        <w:rPr>
          <w:rFonts w:hint="eastAsia" w:ascii="宋体" w:hAnsi="宋体" w:cs="宋体"/>
          <w:kern w:val="0"/>
          <w:sz w:val="24"/>
          <w:szCs w:val="24"/>
        </w:rPr>
        <w:t>产生大量花粉及飘絮的树种</w:t>
      </w:r>
      <w:r>
        <w:rPr>
          <w:rFonts w:hint="eastAsia" w:cs="黑体" w:asciiTheme="minorEastAsia" w:hAnsiTheme="minorEastAsia" w:eastAsiaTheme="minorEastAsia"/>
          <w:kern w:val="44"/>
          <w:sz w:val="24"/>
          <w:szCs w:val="24"/>
        </w:rPr>
        <w:t>。植物枝叶下方有人经常活动或通行的空间净高度不应低于2.20m。老年人活动空间附近宜选择具有果实、花朵、香气等良好辨识度的植物品种。</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cs="黑体" w:asciiTheme="minorEastAsia" w:hAnsiTheme="minorEastAsia" w:eastAsiaTheme="minorEastAsia"/>
          <w:kern w:val="44"/>
          <w:sz w:val="24"/>
          <w:szCs w:val="24"/>
        </w:rPr>
        <w:drawing>
          <wp:anchor distT="0" distB="0" distL="114300" distR="114300" simplePos="0" relativeHeight="251737088" behindDoc="0" locked="0" layoutInCell="1" allowOverlap="1">
            <wp:simplePos x="0" y="0"/>
            <wp:positionH relativeFrom="column">
              <wp:posOffset>1238250</wp:posOffset>
            </wp:positionH>
            <wp:positionV relativeFrom="page">
              <wp:posOffset>5000625</wp:posOffset>
            </wp:positionV>
            <wp:extent cx="2895600" cy="2895600"/>
            <wp:effectExtent l="0" t="0" r="0" b="0"/>
            <wp:wrapTopAndBottom/>
            <wp:docPr id="1491397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97179"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95600" cy="2895600"/>
                    </a:xfrm>
                    <a:prstGeom prst="rect">
                      <a:avLst/>
                    </a:prstGeom>
                    <a:noFill/>
                    <a:ln>
                      <a:noFill/>
                    </a:ln>
                  </pic:spPr>
                </pic:pic>
              </a:graphicData>
            </a:graphic>
          </wp:anchor>
        </w:drawing>
      </w:r>
      <w:r>
        <w:rPr>
          <w:rFonts w:hint="eastAsia" w:cs="黑体" w:asciiTheme="minorEastAsia" w:hAnsiTheme="minorEastAsia" w:eastAsiaTheme="minorEastAsia"/>
          <w:kern w:val="44"/>
          <w:sz w:val="24"/>
          <w:szCs w:val="24"/>
        </w:rPr>
        <w:t>小区水景边缘宜设置栏杆，无栏杆的水池近岸</w:t>
      </w:r>
      <w:r>
        <w:rPr>
          <w:rFonts w:cs="黑体" w:asciiTheme="minorEastAsia" w:hAnsiTheme="minorEastAsia" w:eastAsiaTheme="minorEastAsia"/>
          <w:kern w:val="44"/>
          <w:sz w:val="24"/>
          <w:szCs w:val="24"/>
        </w:rPr>
        <w:t>2</w:t>
      </w:r>
      <w:r>
        <w:rPr>
          <w:rFonts w:hint="eastAsia" w:cs="黑体" w:asciiTheme="minorEastAsia" w:hAnsiTheme="minorEastAsia" w:eastAsiaTheme="minorEastAsia"/>
          <w:kern w:val="44"/>
          <w:sz w:val="24"/>
          <w:szCs w:val="24"/>
        </w:rPr>
        <w:t>.</w:t>
      </w:r>
      <w:r>
        <w:rPr>
          <w:rFonts w:cs="黑体" w:asciiTheme="minorEastAsia" w:hAnsiTheme="minorEastAsia" w:eastAsiaTheme="minorEastAsia"/>
          <w:kern w:val="44"/>
          <w:sz w:val="24"/>
          <w:szCs w:val="24"/>
        </w:rPr>
        <w:t>0</w:t>
      </w:r>
      <w:r>
        <w:rPr>
          <w:rFonts w:hint="eastAsia" w:cs="黑体" w:asciiTheme="minorEastAsia" w:hAnsiTheme="minorEastAsia" w:eastAsiaTheme="minorEastAsia"/>
          <w:kern w:val="44"/>
          <w:sz w:val="24"/>
          <w:szCs w:val="24"/>
        </w:rPr>
        <w:t>0m范围内深度不应大于500mm，水池深度不应大于7</w:t>
      </w:r>
      <w:r>
        <w:rPr>
          <w:rFonts w:cs="黑体" w:asciiTheme="minorEastAsia" w:hAnsiTheme="minorEastAsia" w:eastAsiaTheme="minorEastAsia"/>
          <w:kern w:val="44"/>
          <w:sz w:val="24"/>
          <w:szCs w:val="24"/>
        </w:rPr>
        <w:t>00</w:t>
      </w:r>
      <w:r>
        <w:rPr>
          <w:rFonts w:hint="eastAsia" w:cs="黑体" w:asciiTheme="minorEastAsia" w:hAnsiTheme="minorEastAsia" w:eastAsiaTheme="minorEastAsia"/>
          <w:kern w:val="44"/>
          <w:sz w:val="24"/>
          <w:szCs w:val="24"/>
        </w:rPr>
        <w:t>mm。（图3.</w:t>
      </w:r>
      <w:r>
        <w:rPr>
          <w:rFonts w:cs="黑体" w:asciiTheme="minorEastAsia" w:hAnsiTheme="minorEastAsia" w:eastAsiaTheme="minorEastAsia"/>
          <w:kern w:val="44"/>
          <w:sz w:val="24"/>
          <w:szCs w:val="24"/>
        </w:rPr>
        <w:t>4</w:t>
      </w:r>
      <w:r>
        <w:rPr>
          <w:rFonts w:hint="eastAsia" w:cs="黑体" w:asciiTheme="minorEastAsia" w:hAnsiTheme="minorEastAsia" w:eastAsiaTheme="minorEastAsia"/>
          <w:kern w:val="44"/>
          <w:sz w:val="24"/>
          <w:szCs w:val="24"/>
        </w:rPr>
        <w:t>.2）。</w:t>
      </w:r>
    </w:p>
    <w:p>
      <w:pPr>
        <w:autoSpaceDE w:val="0"/>
        <w:autoSpaceDN w:val="0"/>
        <w:adjustRightInd w:val="0"/>
        <w:spacing w:line="400" w:lineRule="exact"/>
        <w:jc w:val="center"/>
        <w:rPr>
          <w:rFonts w:ascii="宋体" w:hAnsi="宋体" w:cs="宋体"/>
          <w:szCs w:val="21"/>
        </w:rPr>
      </w:pPr>
      <w:r>
        <w:rPr>
          <w:rFonts w:hint="eastAsia" w:ascii="宋体" w:hAnsi="宋体" w:cs="宋体"/>
          <w:szCs w:val="21"/>
        </w:rPr>
        <w:t>图3.</w:t>
      </w:r>
      <w:r>
        <w:rPr>
          <w:rFonts w:ascii="宋体" w:hAnsi="宋体" w:cs="宋体"/>
          <w:szCs w:val="21"/>
        </w:rPr>
        <w:t>4</w:t>
      </w:r>
      <w:r>
        <w:rPr>
          <w:rFonts w:hint="eastAsia" w:ascii="宋体" w:hAnsi="宋体" w:cs="宋体"/>
          <w:szCs w:val="21"/>
        </w:rPr>
        <w:t>.2</w:t>
      </w:r>
      <w:r>
        <w:rPr>
          <w:rFonts w:ascii="宋体" w:hAnsi="宋体" w:cs="宋体"/>
          <w:szCs w:val="21"/>
        </w:rPr>
        <w:t xml:space="preserve"> </w:t>
      </w:r>
      <w:r>
        <w:rPr>
          <w:rFonts w:hint="eastAsia" w:ascii="宋体" w:hAnsi="宋体" w:cs="宋体"/>
          <w:szCs w:val="21"/>
        </w:rPr>
        <w:t>水景边缘示意</w:t>
      </w:r>
    </w:p>
    <w:p>
      <w:pPr>
        <w:autoSpaceDE w:val="0"/>
        <w:autoSpaceDN w:val="0"/>
        <w:adjustRightInd w:val="0"/>
        <w:spacing w:line="400" w:lineRule="exact"/>
        <w:jc w:val="center"/>
        <w:rPr>
          <w:rFonts w:ascii="宋体" w:hAnsi="宋体" w:cs="宋体"/>
          <w:szCs w:val="21"/>
        </w:rPr>
      </w:pP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小区小品雕塑等应摆放在醒目的位置，具有明显的辨识度。小品的材质选择应考虑安全性，不应采用过于尖锐、粗糙和耀眼的材质及表面处理方法。</w:t>
      </w:r>
    </w:p>
    <w:p>
      <w:pPr>
        <w:numPr>
          <w:ilvl w:val="2"/>
          <w:numId w:val="5"/>
        </w:numPr>
        <w:autoSpaceDE w:val="0"/>
        <w:autoSpaceDN w:val="0"/>
        <w:spacing w:line="400" w:lineRule="exact"/>
        <w:rPr>
          <w:rFonts w:cs="黑体" w:asciiTheme="minorEastAsia" w:hAnsiTheme="minorEastAsia" w:eastAsiaTheme="minorEastAsia"/>
          <w:kern w:val="44"/>
          <w:sz w:val="24"/>
          <w:szCs w:val="24"/>
        </w:rPr>
      </w:pPr>
      <w:bookmarkStart w:id="25" w:name="_Hlk149832655"/>
      <w:r>
        <w:rPr>
          <w:rFonts w:hint="eastAsia" w:cs="黑体" w:asciiTheme="minorEastAsia" w:hAnsiTheme="minorEastAsia" w:eastAsiaTheme="minorEastAsia"/>
          <w:kern w:val="44"/>
          <w:sz w:val="24"/>
          <w:szCs w:val="24"/>
        </w:rPr>
        <w:t>老年人经常活动的场所宜适当提高照度，照度标准宜高于平均照度标准的1.5～2倍。</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小区的照明控制宜根据老年人行为特点进行针对性设计，照明时间及使用频率宜采用分级控制。小区场地除常规的路灯照明设施外，宜在道路的坡道、转弯、台阶和公共活动场地设置照明设施，照明设施应做好遮光、控光设计，避免眩光。</w:t>
      </w:r>
    </w:p>
    <w:bookmarkEnd w:id="25"/>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小区宜设置广播系统，实时广播或定时音频广播，向居民传递资讯，及时掌握最新信息。</w:t>
      </w:r>
    </w:p>
    <w:p>
      <w:pPr>
        <w:spacing w:before="187" w:beforeLines="60" w:after="187" w:afterLines="60" w:line="400" w:lineRule="exact"/>
        <w:rPr>
          <w:rFonts w:ascii="宋体" w:hAnsi="宋体" w:cs="宋体"/>
          <w:sz w:val="24"/>
          <w:szCs w:val="24"/>
        </w:rPr>
      </w:pPr>
      <w:r>
        <w:rPr>
          <w:rFonts w:hint="eastAsia" w:ascii="宋体" w:hAnsi="宋体" w:cs="宋体"/>
          <w:sz w:val="24"/>
          <w:szCs w:val="24"/>
        </w:rPr>
        <w:br w:type="page"/>
      </w:r>
    </w:p>
    <w:p>
      <w:pPr>
        <w:keepNext/>
        <w:keepLines/>
        <w:numPr>
          <w:ilvl w:val="0"/>
          <w:numId w:val="5"/>
        </w:numPr>
        <w:spacing w:before="187" w:beforeLines="60" w:after="187" w:afterLines="60" w:line="400" w:lineRule="exact"/>
        <w:jc w:val="center"/>
        <w:outlineLvl w:val="0"/>
        <w:rPr>
          <w:rFonts w:ascii="黑体" w:hAnsi="黑体" w:eastAsia="黑体" w:cs="黑体"/>
          <w:b/>
          <w:bCs/>
          <w:kern w:val="44"/>
          <w:sz w:val="32"/>
          <w:szCs w:val="32"/>
        </w:rPr>
      </w:pPr>
      <w:bookmarkStart w:id="26" w:name="_Toc151217805"/>
      <w:r>
        <w:rPr>
          <w:rFonts w:hint="eastAsia" w:ascii="黑体" w:hAnsi="黑体" w:eastAsia="黑体" w:cs="黑体"/>
          <w:b/>
          <w:bCs/>
          <w:kern w:val="44"/>
          <w:sz w:val="32"/>
          <w:szCs w:val="32"/>
        </w:rPr>
        <w:t>公共部分</w:t>
      </w:r>
      <w:bookmarkEnd w:id="26"/>
    </w:p>
    <w:p>
      <w:pPr>
        <w:keepNext/>
        <w:keepLines/>
        <w:numPr>
          <w:ilvl w:val="1"/>
          <w:numId w:val="5"/>
        </w:numPr>
        <w:spacing w:before="187" w:beforeLines="60" w:after="187" w:afterLines="60" w:line="400" w:lineRule="exact"/>
        <w:jc w:val="center"/>
        <w:outlineLvl w:val="0"/>
        <w:rPr>
          <w:rFonts w:ascii="黑体" w:hAnsi="黑体" w:eastAsia="黑体" w:cs="黑体"/>
          <w:b/>
          <w:bCs/>
          <w:kern w:val="44"/>
          <w:sz w:val="32"/>
          <w:szCs w:val="32"/>
        </w:rPr>
      </w:pPr>
      <w:bookmarkStart w:id="27" w:name="_Toc151217806"/>
      <w:r>
        <w:rPr>
          <w:rFonts w:hint="eastAsia" w:ascii="黑体" w:hAnsi="黑体" w:eastAsia="黑体" w:cs="黑体"/>
          <w:b/>
          <w:bCs/>
          <w:kern w:val="44"/>
          <w:sz w:val="32"/>
          <w:szCs w:val="32"/>
        </w:rPr>
        <w:t>单元出入口及门厅</w:t>
      </w:r>
      <w:bookmarkEnd w:id="27"/>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单元出入口应考虑老年人的行动能力，</w:t>
      </w:r>
      <w:r>
        <w:rPr>
          <w:rFonts w:hint="eastAsia" w:ascii="宋体" w:hAnsi="宋体" w:cs="宋体"/>
          <w:kern w:val="0"/>
          <w:sz w:val="24"/>
          <w:szCs w:val="24"/>
        </w:rPr>
        <w:t>通过设置满足老年人特殊使用要求的平坡、台阶、轮椅坡道、警示标识等设施</w:t>
      </w:r>
      <w:r>
        <w:rPr>
          <w:rFonts w:hint="eastAsia" w:cs="黑体" w:asciiTheme="minorEastAsia" w:hAnsiTheme="minorEastAsia" w:eastAsiaTheme="minorEastAsia"/>
          <w:kern w:val="44"/>
          <w:sz w:val="24"/>
          <w:szCs w:val="24"/>
        </w:rPr>
        <w:t>，确保高差处的日常使用安全，并应满足无障碍等相关规范要求。</w:t>
      </w:r>
    </w:p>
    <w:p>
      <w:pPr>
        <w:pStyle w:val="104"/>
        <w:numPr>
          <w:ilvl w:val="0"/>
          <w:numId w:val="9"/>
        </w:numPr>
        <w:autoSpaceDE w:val="0"/>
        <w:autoSpaceDN w:val="0"/>
        <w:adjustRightInd w:val="0"/>
        <w:spacing w:line="400" w:lineRule="exact"/>
        <w:ind w:left="0" w:firstLine="0" w:firstLineChars="0"/>
        <w:rPr>
          <w:rFonts w:ascii="宋体" w:hAnsi="宋体" w:cs="宋体"/>
          <w:sz w:val="24"/>
          <w:szCs w:val="24"/>
        </w:rPr>
      </w:pPr>
      <w:r>
        <w:rPr>
          <w:rFonts w:ascii="宋体" w:hAnsi="宋体" w:cs="宋体"/>
          <w:szCs w:val="21"/>
        </w:rPr>
        <w:drawing>
          <wp:anchor distT="0" distB="0" distL="114300" distR="114300" simplePos="0" relativeHeight="251738112" behindDoc="0" locked="0" layoutInCell="1" allowOverlap="1">
            <wp:simplePos x="0" y="0"/>
            <wp:positionH relativeFrom="column">
              <wp:posOffset>561975</wp:posOffset>
            </wp:positionH>
            <wp:positionV relativeFrom="paragraph">
              <wp:posOffset>578485</wp:posOffset>
            </wp:positionV>
            <wp:extent cx="4084320" cy="3009900"/>
            <wp:effectExtent l="0" t="0" r="0" b="0"/>
            <wp:wrapTopAndBottom/>
            <wp:docPr id="9180797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79748" name="图片 2"/>
                    <pic:cNvPicPr>
                      <a:picLocks noChangeAspect="1"/>
                    </pic:cNvPicPr>
                  </pic:nvPicPr>
                  <pic:blipFill>
                    <a:blip r:embed="rId10" cstate="print">
                      <a:extLst>
                        <a:ext uri="{28A0092B-C50C-407E-A947-70E740481C1C}">
                          <a14:useLocalDpi xmlns:a14="http://schemas.microsoft.com/office/drawing/2010/main" val="0"/>
                        </a:ext>
                      </a:extLst>
                    </a:blip>
                    <a:srcRect t="20883" b="5429"/>
                    <a:stretch>
                      <a:fillRect/>
                    </a:stretch>
                  </pic:blipFill>
                  <pic:spPr>
                    <a:xfrm>
                      <a:off x="0" y="0"/>
                      <a:ext cx="4084320" cy="3009900"/>
                    </a:xfrm>
                    <a:prstGeom prst="rect">
                      <a:avLst/>
                    </a:prstGeom>
                    <a:ln>
                      <a:noFill/>
                    </a:ln>
                  </pic:spPr>
                </pic:pic>
              </a:graphicData>
            </a:graphic>
          </wp:anchor>
        </w:drawing>
      </w:r>
      <w:r>
        <w:rPr>
          <w:rFonts w:hint="eastAsia" w:ascii="宋体" w:hAnsi="宋体" w:cs="宋体"/>
          <w:sz w:val="24"/>
          <w:szCs w:val="24"/>
        </w:rPr>
        <w:t>室内外高差不大于150mm的出入口，应采用平坡出入口。平坡出入口的坡度不应大于1∶20，坡道宽度不小于建筑出入口宽度且不小于1.8m。（图4.1.1</w:t>
      </w:r>
      <w:r>
        <w:rPr>
          <w:rFonts w:ascii="宋体" w:hAnsi="宋体" w:cs="宋体"/>
          <w:sz w:val="24"/>
          <w:szCs w:val="24"/>
        </w:rPr>
        <w:t>-1</w:t>
      </w:r>
      <w:r>
        <w:rPr>
          <w:rFonts w:hint="eastAsia" w:ascii="宋体" w:hAnsi="宋体" w:cs="宋体"/>
          <w:sz w:val="24"/>
          <w:szCs w:val="24"/>
        </w:rPr>
        <w:t>）</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图4.1.1</w:t>
      </w:r>
      <w:r>
        <w:rPr>
          <w:rFonts w:ascii="宋体" w:hAnsi="宋体" w:cs="宋体"/>
          <w:szCs w:val="21"/>
        </w:rPr>
        <w:t xml:space="preserve">-1 </w:t>
      </w:r>
      <w:r>
        <w:rPr>
          <w:rFonts w:hint="eastAsia" w:ascii="宋体" w:hAnsi="宋体" w:cs="宋体"/>
          <w:szCs w:val="21"/>
        </w:rPr>
        <w:t>平坡式出入口</w:t>
      </w:r>
    </w:p>
    <w:p>
      <w:pPr>
        <w:pStyle w:val="104"/>
        <w:autoSpaceDE w:val="0"/>
        <w:autoSpaceDN w:val="0"/>
        <w:adjustRightInd w:val="0"/>
        <w:spacing w:line="400" w:lineRule="exact"/>
        <w:ind w:firstLine="0" w:firstLineChars="0"/>
        <w:jc w:val="center"/>
        <w:rPr>
          <w:rFonts w:ascii="宋体" w:hAnsi="宋体" w:cs="宋体"/>
          <w:szCs w:val="21"/>
        </w:rPr>
      </w:pPr>
    </w:p>
    <w:p>
      <w:pPr>
        <w:pStyle w:val="104"/>
        <w:numPr>
          <w:ilvl w:val="0"/>
          <w:numId w:val="9"/>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对于室内外高差大于150mm的出入口，应采用不少于2级的台阶进行过渡。台阶踏步的踢面高不宜大于130mm，踏面宽不宜小于320mm，踏步宽度和高度应均匀一致。台阶与单元门交接的位置应留有缓冲平台。并应结合台阶设置轮椅坡道，坡道净宽不应小于</w:t>
      </w:r>
      <w:r>
        <w:rPr>
          <w:rFonts w:ascii="宋体" w:hAnsi="宋体" w:cs="宋体"/>
          <w:sz w:val="24"/>
          <w:szCs w:val="24"/>
        </w:rPr>
        <w:t>1</w:t>
      </w:r>
      <w:r>
        <w:rPr>
          <w:rFonts w:hint="eastAsia" w:ascii="宋体" w:hAnsi="宋体" w:cs="宋体"/>
          <w:sz w:val="24"/>
          <w:szCs w:val="24"/>
        </w:rPr>
        <w:t>.</w:t>
      </w:r>
      <w:r>
        <w:rPr>
          <w:rFonts w:ascii="宋体" w:hAnsi="宋体" w:cs="宋体"/>
          <w:sz w:val="24"/>
          <w:szCs w:val="24"/>
        </w:rPr>
        <w:t>20</w:t>
      </w:r>
      <w:r>
        <w:rPr>
          <w:rFonts w:hint="eastAsia" w:ascii="宋体" w:hAnsi="宋体" w:cs="宋体"/>
          <w:sz w:val="24"/>
          <w:szCs w:val="24"/>
        </w:rPr>
        <w:t>m，应在两侧设置扶手，坡道与休息平台的扶手应保持连贯，扶手距地高度应为850～900mm。（图4.1.1-</w:t>
      </w:r>
      <w:r>
        <w:rPr>
          <w:rFonts w:ascii="宋体" w:hAnsi="宋体" w:cs="宋体"/>
          <w:sz w:val="24"/>
          <w:szCs w:val="24"/>
        </w:rPr>
        <w:t>2</w:t>
      </w:r>
      <w:r>
        <w:rPr>
          <w:rFonts w:hint="eastAsia" w:ascii="宋体" w:hAnsi="宋体" w:cs="宋体"/>
          <w:sz w:val="24"/>
          <w:szCs w:val="24"/>
        </w:rPr>
        <w:t>）</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 w:val="24"/>
          <w:szCs w:val="24"/>
        </w:rPr>
        <w:drawing>
          <wp:anchor distT="0" distB="0" distL="114300" distR="114300" simplePos="0" relativeHeight="251739136" behindDoc="0" locked="0" layoutInCell="1" allowOverlap="1">
            <wp:simplePos x="0" y="0"/>
            <wp:positionH relativeFrom="column">
              <wp:posOffset>1085850</wp:posOffset>
            </wp:positionH>
            <wp:positionV relativeFrom="paragraph">
              <wp:posOffset>180975</wp:posOffset>
            </wp:positionV>
            <wp:extent cx="3171825" cy="2762250"/>
            <wp:effectExtent l="0" t="0" r="9525" b="0"/>
            <wp:wrapTopAndBottom/>
            <wp:docPr id="10380687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6872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t="8709" b="4205"/>
                    <a:stretch>
                      <a:fillRect/>
                    </a:stretch>
                  </pic:blipFill>
                  <pic:spPr>
                    <a:xfrm>
                      <a:off x="0" y="0"/>
                      <a:ext cx="3171825" cy="2762250"/>
                    </a:xfrm>
                    <a:prstGeom prst="rect">
                      <a:avLst/>
                    </a:prstGeom>
                    <a:noFill/>
                    <a:ln>
                      <a:noFill/>
                    </a:ln>
                  </pic:spPr>
                </pic:pic>
              </a:graphicData>
            </a:graphic>
          </wp:anchor>
        </w:drawing>
      </w:r>
      <w:r>
        <w:rPr>
          <w:rFonts w:hint="eastAsia" w:ascii="宋体" w:hAnsi="宋体" w:cs="宋体"/>
          <w:szCs w:val="21"/>
        </w:rPr>
        <w:t>图4.1.1-</w:t>
      </w:r>
      <w:r>
        <w:rPr>
          <w:rFonts w:ascii="宋体" w:hAnsi="宋体" w:cs="宋体"/>
          <w:szCs w:val="21"/>
        </w:rPr>
        <w:t>2</w:t>
      </w:r>
      <w:r>
        <w:rPr>
          <w:rFonts w:hint="eastAsia" w:ascii="宋体" w:hAnsi="宋体" w:cs="宋体"/>
          <w:szCs w:val="21"/>
        </w:rPr>
        <w:t xml:space="preserve"> 单元出入口两侧有绿化，台阶坡道布置示意图</w:t>
      </w:r>
    </w:p>
    <w:p>
      <w:pPr>
        <w:pStyle w:val="104"/>
        <w:autoSpaceDE w:val="0"/>
        <w:autoSpaceDN w:val="0"/>
        <w:adjustRightInd w:val="0"/>
        <w:spacing w:line="400" w:lineRule="exact"/>
        <w:ind w:firstLine="0" w:firstLineChars="0"/>
        <w:jc w:val="center"/>
        <w:rPr>
          <w:rFonts w:ascii="宋体" w:hAnsi="宋体" w:cs="宋体"/>
          <w:szCs w:val="21"/>
        </w:rPr>
      </w:pPr>
    </w:p>
    <w:p>
      <w:pPr>
        <w:pStyle w:val="104"/>
        <w:numPr>
          <w:ilvl w:val="0"/>
          <w:numId w:val="9"/>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当室内外高差大于7</w:t>
      </w:r>
      <w:r>
        <w:rPr>
          <w:rFonts w:ascii="宋体" w:hAnsi="宋体" w:cs="宋体"/>
          <w:sz w:val="24"/>
          <w:szCs w:val="24"/>
        </w:rPr>
        <w:t>50</w:t>
      </w:r>
      <w:r>
        <w:rPr>
          <w:rFonts w:hint="eastAsia" w:ascii="宋体" w:hAnsi="宋体" w:cs="宋体"/>
          <w:sz w:val="24"/>
          <w:szCs w:val="24"/>
        </w:rPr>
        <w:t>mm时，宜增设升降平台。升降平台应满足《建筑与市政工程无障碍通用规范》G</w:t>
      </w:r>
      <w:r>
        <w:rPr>
          <w:rFonts w:ascii="宋体" w:hAnsi="宋体" w:cs="宋体"/>
          <w:sz w:val="24"/>
          <w:szCs w:val="24"/>
        </w:rPr>
        <w:t>B 55019</w:t>
      </w:r>
      <w:r>
        <w:rPr>
          <w:rFonts w:hint="eastAsia" w:ascii="宋体" w:hAnsi="宋体" w:cs="宋体"/>
          <w:sz w:val="24"/>
          <w:szCs w:val="24"/>
        </w:rPr>
        <w:t>和《无障碍设计规范》G</w:t>
      </w:r>
      <w:r>
        <w:rPr>
          <w:rFonts w:ascii="宋体" w:hAnsi="宋体" w:cs="宋体"/>
          <w:sz w:val="24"/>
          <w:szCs w:val="24"/>
        </w:rPr>
        <w:t>B 50763</w:t>
      </w:r>
      <w:r>
        <w:rPr>
          <w:rFonts w:hint="eastAsia" w:ascii="宋体" w:hAnsi="宋体" w:cs="宋体"/>
          <w:sz w:val="24"/>
          <w:szCs w:val="24"/>
        </w:rPr>
        <w:t>的规定。</w:t>
      </w:r>
    </w:p>
    <w:p>
      <w:pPr>
        <w:pStyle w:val="104"/>
        <w:numPr>
          <w:ilvl w:val="0"/>
          <w:numId w:val="9"/>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出入口平台、台阶踏步和坡道应选用坚固、耐磨、防滑、无反光的材料。</w:t>
      </w:r>
    </w:p>
    <w:p>
      <w:pPr>
        <w:pStyle w:val="104"/>
        <w:numPr>
          <w:ilvl w:val="0"/>
          <w:numId w:val="9"/>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台阶、坡道的末端和其周围颜色的亮度、色泽或鲜艳度的差异要大以便容易识别。局部不易察觉的微高差处，应采用黄色警示条、加强照明等方式进行提示。台阶前缘和防滑条为防止老年人绊脚不应凸出表面，如有凸出部分，其凸缘下口应抹圆角（图4.1.1-</w:t>
      </w:r>
      <w:r>
        <w:rPr>
          <w:rFonts w:ascii="宋体" w:hAnsi="宋体" w:cs="宋体"/>
          <w:sz w:val="24"/>
          <w:szCs w:val="24"/>
        </w:rPr>
        <w:t>3</w:t>
      </w:r>
      <w:r>
        <w:rPr>
          <w:rFonts w:hint="eastAsia" w:ascii="宋体" w:hAnsi="宋体" w:cs="宋体"/>
          <w:sz w:val="24"/>
          <w:szCs w:val="24"/>
        </w:rPr>
        <w:t>）。台阶侧边临空时宜设置侧挡台，防止拐杖头滑出台阶侧边，造成老年人失稳（图4.1.1-</w:t>
      </w:r>
      <w:r>
        <w:rPr>
          <w:rFonts w:ascii="宋体" w:hAnsi="宋体" w:cs="宋体"/>
          <w:sz w:val="24"/>
          <w:szCs w:val="24"/>
        </w:rPr>
        <w:t>4</w:t>
      </w:r>
      <w:r>
        <w:rPr>
          <w:rFonts w:hint="eastAsia" w:ascii="宋体" w:hAnsi="宋体" w:cs="宋体"/>
          <w:sz w:val="24"/>
          <w:szCs w:val="24"/>
        </w:rPr>
        <w:t>）。</w:t>
      </w:r>
    </w:p>
    <w:p>
      <w:pPr>
        <w:pStyle w:val="104"/>
        <w:autoSpaceDE w:val="0"/>
        <w:autoSpaceDN w:val="0"/>
        <w:adjustRightInd w:val="0"/>
        <w:spacing w:line="400" w:lineRule="exact"/>
        <w:ind w:firstLine="0" w:firstLineChars="0"/>
        <w:jc w:val="left"/>
        <w:rPr>
          <w:rFonts w:ascii="宋体" w:hAnsi="宋体" w:cs="宋体"/>
          <w:sz w:val="24"/>
          <w:szCs w:val="24"/>
        </w:rPr>
      </w:pPr>
    </w:p>
    <w:p>
      <w:pPr>
        <w:pStyle w:val="104"/>
        <w:autoSpaceDE w:val="0"/>
        <w:autoSpaceDN w:val="0"/>
        <w:adjustRightInd w:val="0"/>
        <w:spacing w:line="400" w:lineRule="exact"/>
        <w:ind w:firstLine="0" w:firstLineChars="0"/>
        <w:jc w:val="center"/>
        <w:rPr>
          <w:rFonts w:ascii="宋体" w:hAnsi="宋体" w:cs="宋体"/>
          <w:sz w:val="24"/>
          <w:szCs w:val="24"/>
        </w:rPr>
      </w:pPr>
      <w:r>
        <w:rPr>
          <w:rFonts w:hint="eastAsia" w:ascii="宋体" w:hAnsi="宋体" w:cs="宋体"/>
          <w:szCs w:val="21"/>
        </w:rPr>
        <w:t>图4.1.1-</w:t>
      </w:r>
      <w:r>
        <w:rPr>
          <w:rFonts w:ascii="宋体" w:hAnsi="宋体" w:cs="宋体"/>
          <w:szCs w:val="21"/>
        </w:rPr>
        <w:t>3</w:t>
      </w:r>
      <w:r>
        <w:rPr>
          <w:rFonts w:hint="eastAsia" w:ascii="宋体" w:hAnsi="宋体" w:cs="宋体"/>
          <w:szCs w:val="21"/>
        </w:rPr>
        <w:t xml:space="preserve"> 台阶前缘做法</w:t>
      </w:r>
      <w:r>
        <w:rPr>
          <w:rFonts w:hint="eastAsia" w:ascii="宋体" w:hAnsi="宋体" w:cs="宋体"/>
          <w:sz w:val="24"/>
          <w:szCs w:val="24"/>
        </w:rPr>
        <w:drawing>
          <wp:anchor distT="0" distB="0" distL="114300" distR="114300" simplePos="0" relativeHeight="251718656" behindDoc="1" locked="0" layoutInCell="1" allowOverlap="1">
            <wp:simplePos x="0" y="0"/>
            <wp:positionH relativeFrom="column">
              <wp:posOffset>674370</wp:posOffset>
            </wp:positionH>
            <wp:positionV relativeFrom="paragraph">
              <wp:posOffset>0</wp:posOffset>
            </wp:positionV>
            <wp:extent cx="3872230" cy="2082165"/>
            <wp:effectExtent l="0" t="0" r="9525" b="1270"/>
            <wp:wrapTopAndBottom/>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 cstate="print">
                      <a:extLst>
                        <a:ext uri="{28A0092B-C50C-407E-A947-70E740481C1C}">
                          <a14:useLocalDpi xmlns:a14="http://schemas.microsoft.com/office/drawing/2010/main" val="0"/>
                        </a:ext>
                      </a:extLst>
                    </a:blip>
                    <a:srcRect t="31233" b="14973"/>
                    <a:stretch>
                      <a:fillRect/>
                    </a:stretch>
                  </pic:blipFill>
                  <pic:spPr>
                    <a:xfrm>
                      <a:off x="0" y="0"/>
                      <a:ext cx="3872230" cy="2082165"/>
                    </a:xfrm>
                    <a:prstGeom prst="rect">
                      <a:avLst/>
                    </a:prstGeom>
                    <a:ln>
                      <a:noFill/>
                    </a:ln>
                  </pic:spPr>
                </pic:pic>
              </a:graphicData>
            </a:graphic>
          </wp:anchor>
        </w:drawing>
      </w:r>
    </w:p>
    <w:p>
      <w:pPr>
        <w:autoSpaceDE w:val="0"/>
        <w:autoSpaceDN w:val="0"/>
        <w:adjustRightInd w:val="0"/>
        <w:spacing w:line="400" w:lineRule="exact"/>
        <w:jc w:val="center"/>
        <w:rPr>
          <w:rFonts w:ascii="宋体" w:hAnsi="宋体" w:cs="宋体"/>
          <w:szCs w:val="21"/>
        </w:rPr>
      </w:pPr>
      <w:r>
        <w:rPr>
          <w:rFonts w:hint="eastAsia" w:ascii="宋体" w:hAnsi="宋体" w:cs="宋体"/>
          <w:szCs w:val="21"/>
        </w:rPr>
        <w:drawing>
          <wp:anchor distT="0" distB="0" distL="114300" distR="114300" simplePos="0" relativeHeight="251720704" behindDoc="0" locked="0" layoutInCell="1" allowOverlap="1">
            <wp:simplePos x="0" y="0"/>
            <wp:positionH relativeFrom="margin">
              <wp:posOffset>1045845</wp:posOffset>
            </wp:positionH>
            <wp:positionV relativeFrom="paragraph">
              <wp:posOffset>497840</wp:posOffset>
            </wp:positionV>
            <wp:extent cx="3505835" cy="3101340"/>
            <wp:effectExtent l="0" t="0" r="0" b="3810"/>
            <wp:wrapTopAndBottom/>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3" cstate="print">
                      <a:extLst>
                        <a:ext uri="{28A0092B-C50C-407E-A947-70E740481C1C}">
                          <a14:useLocalDpi xmlns:a14="http://schemas.microsoft.com/office/drawing/2010/main" val="0"/>
                        </a:ext>
                      </a:extLst>
                    </a:blip>
                    <a:srcRect t="6203" b="5318"/>
                    <a:stretch>
                      <a:fillRect/>
                    </a:stretch>
                  </pic:blipFill>
                  <pic:spPr>
                    <a:xfrm>
                      <a:off x="0" y="0"/>
                      <a:ext cx="3505835" cy="3101340"/>
                    </a:xfrm>
                    <a:prstGeom prst="rect">
                      <a:avLst/>
                    </a:prstGeom>
                    <a:ln>
                      <a:noFill/>
                    </a:ln>
                  </pic:spPr>
                </pic:pic>
              </a:graphicData>
            </a:graphic>
          </wp:anchor>
        </w:drawing>
      </w:r>
    </w:p>
    <w:p>
      <w:pPr>
        <w:autoSpaceDE w:val="0"/>
        <w:autoSpaceDN w:val="0"/>
        <w:adjustRightInd w:val="0"/>
        <w:spacing w:line="400" w:lineRule="exact"/>
        <w:jc w:val="center"/>
        <w:rPr>
          <w:rFonts w:ascii="宋体" w:hAnsi="宋体" w:cs="宋体"/>
          <w:szCs w:val="21"/>
        </w:rPr>
      </w:pPr>
      <w:r>
        <w:rPr>
          <w:rFonts w:hint="eastAsia" w:ascii="宋体" w:hAnsi="宋体" w:cs="宋体"/>
          <w:szCs w:val="21"/>
        </w:rPr>
        <w:t>图4.1.1-</w:t>
      </w:r>
      <w:r>
        <w:rPr>
          <w:rFonts w:ascii="宋体" w:hAnsi="宋体" w:cs="宋体"/>
          <w:szCs w:val="21"/>
        </w:rPr>
        <w:t>4</w:t>
      </w:r>
      <w:r>
        <w:rPr>
          <w:rFonts w:hint="eastAsia" w:ascii="宋体" w:hAnsi="宋体" w:cs="宋体"/>
          <w:szCs w:val="21"/>
        </w:rPr>
        <w:t xml:space="preserve"> 台阶侧挡台做法</w:t>
      </w:r>
    </w:p>
    <w:p>
      <w:pPr>
        <w:autoSpaceDE w:val="0"/>
        <w:autoSpaceDN w:val="0"/>
        <w:adjustRightInd w:val="0"/>
        <w:spacing w:line="400" w:lineRule="exact"/>
        <w:jc w:val="center"/>
        <w:rPr>
          <w:rFonts w:ascii="宋体" w:hAnsi="宋体" w:cs="宋体"/>
          <w:szCs w:val="21"/>
        </w:rPr>
      </w:pP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单元门设计符合以下规定:</w:t>
      </w:r>
    </w:p>
    <w:p>
      <w:pPr>
        <w:pStyle w:val="104"/>
        <w:numPr>
          <w:ilvl w:val="0"/>
          <w:numId w:val="10"/>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单元门应采用平开门或推拉门，不应采用旋转、力度加大的弹簧门。设置平开门时，应设置闭门器。闭门器应满足相关规范的要求。</w:t>
      </w:r>
    </w:p>
    <w:p>
      <w:pPr>
        <w:pStyle w:val="104"/>
        <w:numPr>
          <w:ilvl w:val="0"/>
          <w:numId w:val="10"/>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单元门宜设置电动开门辅助装置或感应开门装置。设置平开门时，应设置闭门器。闭门器应满足相关规范的要求。</w:t>
      </w:r>
    </w:p>
    <w:p>
      <w:pPr>
        <w:pStyle w:val="104"/>
        <w:numPr>
          <w:ilvl w:val="0"/>
          <w:numId w:val="10"/>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门开启后的通行净宽不应小于</w:t>
      </w:r>
      <w:r>
        <w:rPr>
          <w:rFonts w:ascii="宋体" w:hAnsi="宋体" w:cs="宋体"/>
          <w:sz w:val="24"/>
          <w:szCs w:val="24"/>
        </w:rPr>
        <w:t>9</w:t>
      </w:r>
      <w:r>
        <w:rPr>
          <w:rFonts w:hint="eastAsia" w:ascii="宋体" w:hAnsi="宋体" w:cs="宋体"/>
          <w:sz w:val="24"/>
          <w:szCs w:val="24"/>
        </w:rPr>
        <w:t>00mm。电动门开启后的的通行净宽不应小于</w:t>
      </w:r>
      <w:r>
        <w:rPr>
          <w:rFonts w:ascii="宋体" w:hAnsi="宋体" w:cs="宋体"/>
          <w:sz w:val="24"/>
          <w:szCs w:val="24"/>
        </w:rPr>
        <w:t>1000</w:t>
      </w:r>
      <w:r>
        <w:rPr>
          <w:rFonts w:hint="eastAsia" w:ascii="宋体" w:hAnsi="宋体" w:cs="宋体"/>
          <w:sz w:val="24"/>
          <w:szCs w:val="24"/>
        </w:rPr>
        <w:t>mm。当设置手动启闭装置时，可操作部件的中心距地面高度应为0.85m～1.00m。</w:t>
      </w:r>
    </w:p>
    <w:p>
      <w:pPr>
        <w:pStyle w:val="104"/>
        <w:numPr>
          <w:ilvl w:val="0"/>
          <w:numId w:val="10"/>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不宜采用玻璃门。单元门为玻璃门的，应增设醒目的提示标志。</w:t>
      </w:r>
    </w:p>
    <w:p>
      <w:pPr>
        <w:pStyle w:val="104"/>
        <w:numPr>
          <w:ilvl w:val="0"/>
          <w:numId w:val="10"/>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宜设置人脸识别门禁、指纹识别门禁等便于老年人操作的门禁方式。</w:t>
      </w:r>
    </w:p>
    <w:p>
      <w:pPr>
        <w:pStyle w:val="104"/>
        <w:numPr>
          <w:ilvl w:val="0"/>
          <w:numId w:val="10"/>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设有安全监控设备终端和呼叫按钮的，所处位置应便于老年人使用，呼叫按钮距地面高度宜为1.</w:t>
      </w:r>
      <w:r>
        <w:rPr>
          <w:rFonts w:ascii="宋体" w:hAnsi="宋体" w:cs="宋体"/>
          <w:sz w:val="24"/>
          <w:szCs w:val="24"/>
        </w:rPr>
        <w:t>1</w:t>
      </w:r>
      <w:r>
        <w:rPr>
          <w:rFonts w:hint="eastAsia" w:ascii="宋体" w:hAnsi="宋体" w:cs="宋体"/>
          <w:sz w:val="24"/>
          <w:szCs w:val="24"/>
        </w:rPr>
        <w:t>0m。</w:t>
      </w:r>
    </w:p>
    <w:p>
      <w:pPr>
        <w:pStyle w:val="104"/>
        <w:numPr>
          <w:ilvl w:val="0"/>
          <w:numId w:val="10"/>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出入口内外侧设置除去门扇摆动的空间后直径不小于1.50m的轮椅回转空间，门把手一侧的墙垛宽度不应小于400mm。</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出入口应增设雨篷。雨篷出挑长度要求覆盖入口平台与单元信箱，宜超过首级台阶0.5m，宽度超过平台两侧各0.3m。</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应在出入口设置台阶黄色警示条及灯光照明。灯光宜选用柔和漫射的光源，以满足老年人的视觉需求。</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出入口造型应标志鲜明、易于辨认。单元号牌应清晰、醒目，并采用夜间可识别的材质或配有夜间照明。</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单元入口宜设独立门厅，形成入口空间，门厅空间应宽敞、采光、通风好。</w:t>
      </w:r>
      <w:r>
        <w:rPr>
          <w:rFonts w:cs="黑体" w:asciiTheme="minorEastAsia" w:hAnsiTheme="minorEastAsia" w:eastAsiaTheme="minorEastAsia"/>
          <w:kern w:val="44"/>
          <w:sz w:val="24"/>
          <w:szCs w:val="24"/>
        </w:rPr>
        <w:t xml:space="preserve"> </w:t>
      </w:r>
    </w:p>
    <w:p>
      <w:pPr>
        <w:keepNext/>
        <w:keepLines/>
        <w:numPr>
          <w:ilvl w:val="1"/>
          <w:numId w:val="5"/>
        </w:numPr>
        <w:spacing w:before="187" w:beforeLines="60" w:after="187" w:afterLines="60" w:line="400" w:lineRule="exact"/>
        <w:jc w:val="center"/>
        <w:outlineLvl w:val="0"/>
        <w:rPr>
          <w:rFonts w:ascii="黑体" w:hAnsi="黑体" w:eastAsia="黑体" w:cs="黑体"/>
          <w:b/>
          <w:bCs/>
          <w:kern w:val="44"/>
          <w:sz w:val="32"/>
          <w:szCs w:val="32"/>
        </w:rPr>
      </w:pPr>
      <w:bookmarkStart w:id="28" w:name="_Toc151217807"/>
      <w:r>
        <w:rPr>
          <w:rFonts w:hint="eastAsia" w:ascii="黑体" w:hAnsi="黑体" w:eastAsia="黑体" w:cs="黑体"/>
          <w:b/>
          <w:bCs/>
          <w:kern w:val="44"/>
          <w:sz w:val="32"/>
          <w:szCs w:val="32"/>
        </w:rPr>
        <w:t>楼梯</w:t>
      </w:r>
      <w:bookmarkEnd w:id="28"/>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楼梯楼层平台和中间平台应同时设置照明。</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ascii="宋体" w:hAnsi="宋体" w:cs="宋体"/>
          <w:kern w:val="0"/>
          <w:sz w:val="24"/>
          <w:szCs w:val="24"/>
        </w:rPr>
        <w:t>应在楼梯两侧设置连续扶手，楼梯扶手应与无障碍通道扶手保持连贯。考虑老年人的身高及身体情况，上层扶手高度应为850～900mm，下层扶手高度应为650～900mm。扶手应固定且安装牢固，形状和截面尺寸应易于抓握，与墙间应有40～50mm的空隙，扶手转角作圆角处理。扶手端部向下方或墙壁方向弯曲（长度不小于100mm）。扶手材料宜用导热系数较小的材料，并易于抓握。扶手起点和终点处应水平延伸，延伸长度不小于300mm。楼梯临梯井一侧、贯通空间临空一侧的地面，应设置50mm高挡台翻口。</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楼梯临梯井一侧、贯通空间临空一侧的地面，</w:t>
      </w:r>
      <w:r>
        <w:rPr>
          <w:rFonts w:hint="eastAsia" w:ascii="宋体" w:hAnsi="宋体" w:cs="宋体"/>
          <w:kern w:val="0"/>
          <w:sz w:val="24"/>
          <w:szCs w:val="24"/>
        </w:rPr>
        <w:t>应</w:t>
      </w:r>
      <w:r>
        <w:rPr>
          <w:rFonts w:hint="eastAsia" w:cs="黑体" w:asciiTheme="minorEastAsia" w:hAnsiTheme="minorEastAsia" w:eastAsiaTheme="minorEastAsia"/>
          <w:kern w:val="44"/>
          <w:sz w:val="24"/>
          <w:szCs w:val="24"/>
        </w:rPr>
        <w:t>设置50mm高挡台翻口。</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楼梯踏步面层宜选用耐磨、防滑、无反光的材料。踏面前缘宜增设防滑条，防滑条不宜突出踏面。</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应在楼梯梯段起点处、终点处设置明显清晰的标识和警示标志，包括楼层导视、安全提示等，以适应老年人记忆力下降、视觉弱化等生理特点。</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楼梯间窗的设置宜避免产生炫光。可通过使用柔光玻璃或加装蜂窝防眩隔扇网等方法减少炫光对老年人视觉的影响，以避免老年人因无法分辨边界而发生安全事故。</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楼梯平台每层宜设置折叠座椅等的休息设施，休息设施不得影响消防疏散（图4.2.7）</w:t>
      </w:r>
    </w:p>
    <w:p>
      <w:pPr>
        <w:autoSpaceDE w:val="0"/>
        <w:autoSpaceDN w:val="0"/>
        <w:adjustRightInd w:val="0"/>
        <w:spacing w:line="400" w:lineRule="exact"/>
        <w:jc w:val="center"/>
        <w:rPr>
          <w:rFonts w:ascii="宋体" w:hAnsi="宋体" w:cs="宋体"/>
          <w:szCs w:val="21"/>
        </w:rPr>
      </w:pPr>
      <w:r>
        <w:rPr>
          <w:rFonts w:hint="eastAsia" w:ascii="宋体" w:hAnsi="宋体" w:cs="宋体"/>
          <w:sz w:val="24"/>
          <w:szCs w:val="24"/>
        </w:rPr>
        <w:drawing>
          <wp:anchor distT="0" distB="0" distL="114300" distR="114300" simplePos="0" relativeHeight="251724800" behindDoc="0" locked="0" layoutInCell="1" allowOverlap="1">
            <wp:simplePos x="0" y="0"/>
            <wp:positionH relativeFrom="column">
              <wp:posOffset>3856990</wp:posOffset>
            </wp:positionH>
            <wp:positionV relativeFrom="paragraph">
              <wp:posOffset>387985</wp:posOffset>
            </wp:positionV>
            <wp:extent cx="1666875" cy="1777365"/>
            <wp:effectExtent l="0" t="0" r="9525" b="0"/>
            <wp:wrapTopAndBottom/>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cstate="print">
                      <a:extLst>
                        <a:ext uri="{28A0092B-C50C-407E-A947-70E740481C1C}">
                          <a14:useLocalDpi xmlns:a14="http://schemas.microsoft.com/office/drawing/2010/main" val="0"/>
                        </a:ext>
                      </a:extLst>
                    </a:blip>
                    <a:srcRect l="26075" t="15607" r="25658" b="12008"/>
                    <a:stretch>
                      <a:fillRect/>
                    </a:stretch>
                  </pic:blipFill>
                  <pic:spPr>
                    <a:xfrm>
                      <a:off x="0" y="0"/>
                      <a:ext cx="1666875" cy="1777365"/>
                    </a:xfrm>
                    <a:prstGeom prst="rect">
                      <a:avLst/>
                    </a:prstGeom>
                    <a:ln>
                      <a:noFill/>
                    </a:ln>
                  </pic:spPr>
                </pic:pic>
              </a:graphicData>
            </a:graphic>
          </wp:anchor>
        </w:drawing>
      </w:r>
      <w:r>
        <w:rPr>
          <w:rFonts w:hint="eastAsia" w:ascii="宋体" w:hAnsi="宋体" w:cs="宋体"/>
          <w:sz w:val="24"/>
          <w:szCs w:val="24"/>
        </w:rPr>
        <w:drawing>
          <wp:anchor distT="0" distB="0" distL="114300" distR="114300" simplePos="0" relativeHeight="251723776" behindDoc="0" locked="0" layoutInCell="1" allowOverlap="1">
            <wp:simplePos x="0" y="0"/>
            <wp:positionH relativeFrom="column">
              <wp:posOffset>2012950</wp:posOffset>
            </wp:positionH>
            <wp:positionV relativeFrom="paragraph">
              <wp:posOffset>458470</wp:posOffset>
            </wp:positionV>
            <wp:extent cx="1957705" cy="1748155"/>
            <wp:effectExtent l="0" t="0" r="4445" b="4445"/>
            <wp:wrapTopAndBottom/>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5" cstate="print">
                      <a:extLst>
                        <a:ext uri="{28A0092B-C50C-407E-A947-70E740481C1C}">
                          <a14:useLocalDpi xmlns:a14="http://schemas.microsoft.com/office/drawing/2010/main" val="0"/>
                        </a:ext>
                      </a:extLst>
                    </a:blip>
                    <a:srcRect l="13037" t="18906" r="10029" b="12401"/>
                    <a:stretch>
                      <a:fillRect/>
                    </a:stretch>
                  </pic:blipFill>
                  <pic:spPr>
                    <a:xfrm>
                      <a:off x="0" y="0"/>
                      <a:ext cx="1957705" cy="1748155"/>
                    </a:xfrm>
                    <a:prstGeom prst="rect">
                      <a:avLst/>
                    </a:prstGeom>
                    <a:ln>
                      <a:noFill/>
                    </a:ln>
                  </pic:spPr>
                </pic:pic>
              </a:graphicData>
            </a:graphic>
          </wp:anchor>
        </w:drawing>
      </w:r>
      <w:r>
        <w:rPr>
          <w:rFonts w:hint="eastAsia" w:ascii="宋体" w:hAnsi="宋体" w:cs="宋体"/>
          <w:sz w:val="24"/>
          <w:szCs w:val="24"/>
        </w:rPr>
        <w:drawing>
          <wp:anchor distT="0" distB="0" distL="114300" distR="114300" simplePos="0" relativeHeight="251722752" behindDoc="0" locked="0" layoutInCell="1" allowOverlap="1">
            <wp:simplePos x="0" y="0"/>
            <wp:positionH relativeFrom="margin">
              <wp:align>left</wp:align>
            </wp:positionH>
            <wp:positionV relativeFrom="paragraph">
              <wp:posOffset>38100</wp:posOffset>
            </wp:positionV>
            <wp:extent cx="1944370" cy="2190750"/>
            <wp:effectExtent l="0" t="0" r="0" b="0"/>
            <wp:wrapTopAndBottom/>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6" cstate="print">
                      <a:extLst>
                        <a:ext uri="{28A0092B-C50C-407E-A947-70E740481C1C}">
                          <a14:useLocalDpi xmlns:a14="http://schemas.microsoft.com/office/drawing/2010/main" val="0"/>
                        </a:ext>
                      </a:extLst>
                    </a:blip>
                    <a:srcRect l="11214" t="9995" r="16954" b="9105"/>
                    <a:stretch>
                      <a:fillRect/>
                    </a:stretch>
                  </pic:blipFill>
                  <pic:spPr>
                    <a:xfrm>
                      <a:off x="0" y="0"/>
                      <a:ext cx="1944370" cy="2190750"/>
                    </a:xfrm>
                    <a:prstGeom prst="rect">
                      <a:avLst/>
                    </a:prstGeom>
                    <a:ln>
                      <a:noFill/>
                    </a:ln>
                  </pic:spPr>
                </pic:pic>
              </a:graphicData>
            </a:graphic>
          </wp:anchor>
        </w:drawing>
      </w:r>
      <w:r>
        <w:rPr>
          <w:rFonts w:hint="eastAsia" w:ascii="宋体" w:hAnsi="宋体" w:cs="宋体"/>
          <w:szCs w:val="21"/>
        </w:rPr>
        <w:t>图4.2.7 楼梯休息座凳</w:t>
      </w:r>
    </w:p>
    <w:p>
      <w:pPr>
        <w:keepNext/>
        <w:keepLines/>
        <w:numPr>
          <w:ilvl w:val="1"/>
          <w:numId w:val="5"/>
        </w:numPr>
        <w:spacing w:before="187" w:beforeLines="60" w:after="187" w:afterLines="60" w:line="400" w:lineRule="exact"/>
        <w:jc w:val="center"/>
        <w:outlineLvl w:val="0"/>
        <w:rPr>
          <w:rFonts w:ascii="宋体" w:hAnsi="宋体" w:cs="宋体"/>
          <w:b/>
          <w:bCs/>
          <w:kern w:val="44"/>
          <w:sz w:val="32"/>
          <w:szCs w:val="32"/>
        </w:rPr>
      </w:pPr>
      <w:bookmarkStart w:id="29" w:name="_Toc151217808"/>
      <w:r>
        <w:rPr>
          <w:rFonts w:hint="eastAsia" w:ascii="黑体" w:hAnsi="黑体" w:eastAsia="黑体" w:cs="黑体"/>
          <w:b/>
          <w:bCs/>
          <w:kern w:val="44"/>
          <w:sz w:val="32"/>
          <w:szCs w:val="32"/>
        </w:rPr>
        <w:t>电梯及电梯厅</w:t>
      </w:r>
      <w:bookmarkEnd w:id="29"/>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新建适老化住宅应设置电梯。</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电梯厅应设置低位操作面板，面板中心线距地面髙度为0.85m～1.10m，且距内转角处侧墙距离不应小于400mm，低位操作面板宜设置带盲文的低位选层按钮，应设置电梯运行显示装置和抵达音响。（图4.3.</w:t>
      </w:r>
      <w:r>
        <w:rPr>
          <w:rFonts w:cs="黑体" w:asciiTheme="minorEastAsia" w:hAnsiTheme="minorEastAsia" w:eastAsiaTheme="minorEastAsia"/>
          <w:kern w:val="44"/>
          <w:sz w:val="24"/>
          <w:szCs w:val="24"/>
        </w:rPr>
        <w:t>2</w:t>
      </w:r>
      <w:r>
        <w:rPr>
          <w:rFonts w:hint="eastAsia" w:cs="黑体" w:asciiTheme="minorEastAsia" w:hAnsiTheme="minorEastAsia" w:eastAsiaTheme="minorEastAsia"/>
          <w:kern w:val="44"/>
          <w:sz w:val="24"/>
          <w:szCs w:val="24"/>
        </w:rPr>
        <w:t>）</w:t>
      </w:r>
    </w:p>
    <w:p>
      <w:pPr>
        <w:autoSpaceDE w:val="0"/>
        <w:autoSpaceDN w:val="0"/>
        <w:adjustRightInd w:val="0"/>
        <w:spacing w:line="400" w:lineRule="exact"/>
        <w:jc w:val="left"/>
        <w:rPr>
          <w:rFonts w:ascii="宋体" w:hAnsi="宋体" w:cs="宋体"/>
          <w:sz w:val="24"/>
          <w:szCs w:val="24"/>
        </w:rPr>
      </w:pPr>
      <w:r>
        <w:rPr>
          <w:rFonts w:hint="eastAsia" w:ascii="宋体" w:hAnsi="宋体" w:cs="宋体"/>
          <w:sz w:val="24"/>
          <w:szCs w:val="24"/>
        </w:rPr>
        <w:drawing>
          <wp:anchor distT="0" distB="0" distL="114300" distR="114300" simplePos="0" relativeHeight="251726848" behindDoc="0" locked="0" layoutInCell="1" allowOverlap="1">
            <wp:simplePos x="0" y="0"/>
            <wp:positionH relativeFrom="column">
              <wp:posOffset>382270</wp:posOffset>
            </wp:positionH>
            <wp:positionV relativeFrom="paragraph">
              <wp:posOffset>255270</wp:posOffset>
            </wp:positionV>
            <wp:extent cx="4468495" cy="2874645"/>
            <wp:effectExtent l="0" t="0" r="8255" b="1905"/>
            <wp:wrapTopAndBottom/>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7" cstate="print">
                      <a:extLst>
                        <a:ext uri="{28A0092B-C50C-407E-A947-70E740481C1C}">
                          <a14:useLocalDpi xmlns:a14="http://schemas.microsoft.com/office/drawing/2010/main" val="0"/>
                        </a:ext>
                      </a:extLst>
                    </a:blip>
                    <a:srcRect l="11918" t="5517" r="20692" b="8547"/>
                    <a:stretch>
                      <a:fillRect/>
                    </a:stretch>
                  </pic:blipFill>
                  <pic:spPr>
                    <a:xfrm>
                      <a:off x="0" y="0"/>
                      <a:ext cx="4468495" cy="2874645"/>
                    </a:xfrm>
                    <a:prstGeom prst="rect">
                      <a:avLst/>
                    </a:prstGeom>
                    <a:ln>
                      <a:noFill/>
                    </a:ln>
                  </pic:spPr>
                </pic:pic>
              </a:graphicData>
            </a:graphic>
          </wp:anchor>
        </w:drawing>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图4.3.</w:t>
      </w:r>
      <w:r>
        <w:rPr>
          <w:rFonts w:ascii="宋体" w:hAnsi="宋体" w:cs="宋体"/>
          <w:szCs w:val="21"/>
        </w:rPr>
        <w:t>2</w:t>
      </w:r>
      <w:r>
        <w:rPr>
          <w:rFonts w:hint="eastAsia" w:ascii="宋体" w:hAnsi="宋体" w:cs="宋体"/>
          <w:szCs w:val="21"/>
        </w:rPr>
        <w:t xml:space="preserve"> 电梯厅</w:t>
      </w:r>
    </w:p>
    <w:p>
      <w:pPr>
        <w:pStyle w:val="104"/>
        <w:autoSpaceDE w:val="0"/>
        <w:autoSpaceDN w:val="0"/>
        <w:adjustRightInd w:val="0"/>
        <w:spacing w:line="400" w:lineRule="exact"/>
        <w:ind w:firstLine="0" w:firstLineChars="0"/>
        <w:jc w:val="center"/>
        <w:rPr>
          <w:rFonts w:ascii="宋体" w:hAnsi="宋体" w:cs="宋体"/>
          <w:szCs w:val="21"/>
        </w:rPr>
      </w:pP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电梯厅深度不应小于1.80m，电梯厅内应设置扶手。</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电梯运行速度应保障老年人站立安稳，将轿厢门开闭的时间间隔不小于15秒，以确保老年人有足够的时间从容进出轿厢。</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电梯轿厢应满足</w:t>
      </w:r>
      <w:r>
        <w:rPr>
          <w:rFonts w:hint="eastAsia" w:ascii="宋体" w:hAnsi="宋体" w:cs="宋体"/>
          <w:kern w:val="0"/>
          <w:sz w:val="24"/>
          <w:szCs w:val="24"/>
        </w:rPr>
        <w:t>担架电梯尺寸要求</w:t>
      </w:r>
      <w:r>
        <w:rPr>
          <w:rFonts w:hint="eastAsia" w:cs="黑体" w:asciiTheme="minorEastAsia" w:hAnsiTheme="minorEastAsia" w:eastAsiaTheme="minorEastAsia"/>
          <w:kern w:val="44"/>
          <w:sz w:val="24"/>
          <w:szCs w:val="24"/>
        </w:rPr>
        <w:t>。如采用宽轿厢，深度不应小于1.50m，宽度不应小于1.60m；如采用深轿厢，深度不应小于2.10m，宽度不应小于1.10m。</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电梯轿厢内应设高850～900mm的安全扶手，厢门对侧墙面500mm高处至顶部应采用镜面材料以便于老年人出入电梯时更好地观察周边情况，轿厢内壁应设高度为350～400mm的防撞板。</w:t>
      </w:r>
    </w:p>
    <w:p>
      <w:pPr>
        <w:keepNext/>
        <w:keepLines/>
        <w:numPr>
          <w:ilvl w:val="1"/>
          <w:numId w:val="5"/>
        </w:numPr>
        <w:spacing w:before="187" w:beforeLines="60" w:after="187" w:afterLines="60" w:line="400" w:lineRule="exact"/>
        <w:jc w:val="center"/>
        <w:outlineLvl w:val="0"/>
        <w:rPr>
          <w:rFonts w:ascii="黑体" w:hAnsi="黑体" w:eastAsia="黑体" w:cs="黑体"/>
          <w:b/>
          <w:bCs/>
          <w:kern w:val="44"/>
          <w:sz w:val="32"/>
          <w:szCs w:val="32"/>
        </w:rPr>
      </w:pPr>
      <w:bookmarkStart w:id="30" w:name="_Toc151217809"/>
      <w:r>
        <w:rPr>
          <w:rFonts w:hint="eastAsia" w:ascii="黑体" w:hAnsi="黑体" w:eastAsia="黑体" w:cs="黑体"/>
          <w:b/>
          <w:bCs/>
          <w:kern w:val="44"/>
          <w:sz w:val="32"/>
          <w:szCs w:val="32"/>
        </w:rPr>
        <w:t>标识</w:t>
      </w:r>
      <w:bookmarkEnd w:id="30"/>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小区宜建立起完整的楼宇指示、道路指示、公共活动场地指示等标识系统。同时设立清晰的警示和温馨提示标识，提高老人室外的安全意识。</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标识系统应主要设置在出入口、道路分叉口、拐点、主要活动场地和建筑附近等老年人主要的生活流线上。标识中提示的信息应完整易懂，方位准确，导向清晰且具有连续性。</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ascii="宋体" w:hAnsi="宋体" w:cs="宋体"/>
          <w:sz w:val="24"/>
          <w:szCs w:val="24"/>
        </w:rPr>
        <w:drawing>
          <wp:anchor distT="0" distB="0" distL="114300" distR="114300" simplePos="0" relativeHeight="251728896" behindDoc="0" locked="0" layoutInCell="1" allowOverlap="1">
            <wp:simplePos x="0" y="0"/>
            <wp:positionH relativeFrom="margin">
              <wp:posOffset>0</wp:posOffset>
            </wp:positionH>
            <wp:positionV relativeFrom="paragraph">
              <wp:posOffset>812800</wp:posOffset>
            </wp:positionV>
            <wp:extent cx="4962525" cy="2697480"/>
            <wp:effectExtent l="0" t="0" r="9525" b="7620"/>
            <wp:wrapTopAndBottom/>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8" cstate="print">
                      <a:extLst>
                        <a:ext uri="{28A0092B-C50C-407E-A947-70E740481C1C}">
                          <a14:useLocalDpi xmlns:a14="http://schemas.microsoft.com/office/drawing/2010/main" val="0"/>
                        </a:ext>
                      </a:extLst>
                    </a:blip>
                    <a:srcRect l="6778" t="6664" r="15856" b="9933"/>
                    <a:stretch>
                      <a:fillRect/>
                    </a:stretch>
                  </pic:blipFill>
                  <pic:spPr>
                    <a:xfrm>
                      <a:off x="0" y="0"/>
                      <a:ext cx="4962525" cy="2697480"/>
                    </a:xfrm>
                    <a:prstGeom prst="rect">
                      <a:avLst/>
                    </a:prstGeom>
                    <a:ln>
                      <a:noFill/>
                    </a:ln>
                  </pic:spPr>
                </pic:pic>
              </a:graphicData>
            </a:graphic>
          </wp:anchor>
        </w:drawing>
      </w:r>
      <w:r>
        <w:rPr>
          <w:rFonts w:hint="eastAsia" w:cs="黑体" w:asciiTheme="minorEastAsia" w:hAnsiTheme="minorEastAsia" w:eastAsiaTheme="minorEastAsia"/>
          <w:kern w:val="44"/>
          <w:sz w:val="24"/>
          <w:szCs w:val="24"/>
        </w:rPr>
        <w:t>标识应安装在使用轮椅的老年人容易看得到的位置和高度，从地面到标识牌中央线的高度宜为1350mm，标识板的内容高度宜设置700mm至1750mm之间（图4.4.3）。</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图4.4.3 标识安装位置</w:t>
      </w:r>
    </w:p>
    <w:p>
      <w:pPr>
        <w:pStyle w:val="104"/>
        <w:autoSpaceDE w:val="0"/>
        <w:autoSpaceDN w:val="0"/>
        <w:adjustRightInd w:val="0"/>
        <w:spacing w:line="400" w:lineRule="exact"/>
        <w:ind w:firstLine="0" w:firstLineChars="0"/>
        <w:jc w:val="center"/>
        <w:rPr>
          <w:rFonts w:ascii="宋体" w:hAnsi="宋体" w:cs="宋体"/>
          <w:szCs w:val="21"/>
        </w:rPr>
      </w:pP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drawing>
          <wp:anchor distT="0" distB="0" distL="114300" distR="114300" simplePos="0" relativeHeight="251676672" behindDoc="0" locked="0" layoutInCell="1" allowOverlap="1">
            <wp:simplePos x="0" y="0"/>
            <wp:positionH relativeFrom="margin">
              <wp:posOffset>438150</wp:posOffset>
            </wp:positionH>
            <wp:positionV relativeFrom="paragraph">
              <wp:posOffset>1165225</wp:posOffset>
            </wp:positionV>
            <wp:extent cx="4248150" cy="2720340"/>
            <wp:effectExtent l="0" t="0" r="0" b="3810"/>
            <wp:wrapTopAndBottom/>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9" cstate="print">
                      <a:extLst>
                        <a:ext uri="{28A0092B-C50C-407E-A947-70E740481C1C}">
                          <a14:useLocalDpi xmlns:a14="http://schemas.microsoft.com/office/drawing/2010/main" val="0"/>
                        </a:ext>
                      </a:extLst>
                    </a:blip>
                    <a:srcRect l="3885" t="8313" r="33079" b="11608"/>
                    <a:stretch>
                      <a:fillRect/>
                    </a:stretch>
                  </pic:blipFill>
                  <pic:spPr>
                    <a:xfrm>
                      <a:off x="0" y="0"/>
                      <a:ext cx="4248150" cy="2720340"/>
                    </a:xfrm>
                    <a:prstGeom prst="rect">
                      <a:avLst/>
                    </a:prstGeom>
                    <a:ln>
                      <a:noFill/>
                    </a:ln>
                  </pic:spPr>
                </pic:pic>
              </a:graphicData>
            </a:graphic>
          </wp:anchor>
        </w:drawing>
      </w:r>
      <w:r>
        <w:rPr>
          <w:rFonts w:hint="eastAsia" w:cs="黑体" w:asciiTheme="minorEastAsia" w:hAnsiTheme="minorEastAsia" w:eastAsiaTheme="minorEastAsia"/>
          <w:kern w:val="44"/>
          <w:sz w:val="24"/>
          <w:szCs w:val="24"/>
        </w:rPr>
        <w:t>适老化的标识系统应色彩柔和温暖，字体醒目、笔划粗细适当，图案清晰、通俗易懂。字体和图案宜做适当放大处理。应选择与标识牌的背景底色对比度鲜明的色彩，彩度间隔不小于120°，明度差不小于7级。（图4.4.4-1、图4.4.4-2、图4.4.4-3、图4.4.4-4）</w:t>
      </w:r>
    </w:p>
    <w:p>
      <w:pPr>
        <w:autoSpaceDE w:val="0"/>
        <w:autoSpaceDN w:val="0"/>
        <w:spacing w:line="400" w:lineRule="exact"/>
        <w:jc w:val="center"/>
        <w:rPr>
          <w:rFonts w:ascii="宋体" w:hAnsi="宋体" w:cs="宋体"/>
          <w:szCs w:val="21"/>
        </w:rPr>
      </w:pPr>
      <w:r>
        <w:rPr>
          <w:rFonts w:hint="eastAsia" w:ascii="宋体" w:hAnsi="宋体" w:cs="宋体"/>
          <w:szCs w:val="21"/>
        </w:rPr>
        <w:t>图4.4.4-1 老年人中、英文可视距离关系</w:t>
      </w:r>
    </w:p>
    <w:p>
      <w:pPr>
        <w:autoSpaceDE w:val="0"/>
        <w:autoSpaceDN w:val="0"/>
        <w:spacing w:line="400" w:lineRule="exact"/>
        <w:jc w:val="center"/>
        <w:rPr>
          <w:rFonts w:ascii="宋体" w:hAnsi="宋体" w:cs="宋体"/>
          <w:szCs w:val="21"/>
        </w:rPr>
      </w:pPr>
    </w:p>
    <w:p>
      <w:pPr>
        <w:autoSpaceDE w:val="0"/>
        <w:autoSpaceDN w:val="0"/>
        <w:spacing w:line="400" w:lineRule="exact"/>
        <w:jc w:val="center"/>
        <w:rPr>
          <w:rFonts w:ascii="宋体" w:hAnsi="宋体" w:cs="宋体"/>
          <w:szCs w:val="21"/>
        </w:rPr>
      </w:pPr>
      <w:r>
        <w:rPr>
          <w:rFonts w:hint="eastAsia" w:ascii="宋体" w:hAnsi="宋体" w:cs="宋体"/>
        </w:rPr>
        <w:drawing>
          <wp:anchor distT="0" distB="0" distL="114300" distR="114300" simplePos="0" relativeHeight="251741184" behindDoc="0" locked="0" layoutInCell="1" allowOverlap="1">
            <wp:simplePos x="0" y="0"/>
            <wp:positionH relativeFrom="margin">
              <wp:posOffset>352425</wp:posOffset>
            </wp:positionH>
            <wp:positionV relativeFrom="paragraph">
              <wp:posOffset>180340</wp:posOffset>
            </wp:positionV>
            <wp:extent cx="4829810" cy="1836420"/>
            <wp:effectExtent l="0" t="0" r="889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829810" cy="1836420"/>
                    </a:xfrm>
                    <a:prstGeom prst="rect">
                      <a:avLst/>
                    </a:prstGeom>
                  </pic:spPr>
                </pic:pic>
              </a:graphicData>
            </a:graphic>
          </wp:anchor>
        </w:drawing>
      </w:r>
      <w:r>
        <w:rPr>
          <w:rFonts w:hint="eastAsia" w:ascii="宋体" w:hAnsi="宋体" w:cs="宋体"/>
          <w:szCs w:val="21"/>
        </w:rPr>
        <w:t>图4.4.4-2 老年人对不同背景和笔画粗细的认视距离</w:t>
      </w:r>
    </w:p>
    <w:p>
      <w:pPr>
        <w:autoSpaceDE w:val="0"/>
        <w:autoSpaceDN w:val="0"/>
        <w:spacing w:line="400" w:lineRule="exact"/>
        <w:jc w:val="center"/>
        <w:rPr>
          <w:rFonts w:ascii="宋体" w:hAnsi="宋体" w:cs="宋体"/>
          <w:szCs w:val="21"/>
        </w:rPr>
      </w:pPr>
      <w:r>
        <w:rPr>
          <w:rFonts w:hint="eastAsia" w:ascii="宋体" w:hAnsi="宋体" w:cs="宋体"/>
        </w:rPr>
        <w:drawing>
          <wp:anchor distT="0" distB="0" distL="114300" distR="114300" simplePos="0" relativeHeight="251748352" behindDoc="0" locked="0" layoutInCell="1" allowOverlap="1">
            <wp:simplePos x="0" y="0"/>
            <wp:positionH relativeFrom="margin">
              <wp:posOffset>238125</wp:posOffset>
            </wp:positionH>
            <wp:positionV relativeFrom="paragraph">
              <wp:posOffset>304165</wp:posOffset>
            </wp:positionV>
            <wp:extent cx="5005705" cy="2289810"/>
            <wp:effectExtent l="0" t="0" r="4445"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005705" cy="2289810"/>
                    </a:xfrm>
                    <a:prstGeom prst="rect">
                      <a:avLst/>
                    </a:prstGeom>
                  </pic:spPr>
                </pic:pic>
              </a:graphicData>
            </a:graphic>
          </wp:anchor>
        </w:drawing>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图4.4.4-3 明度色标</w:t>
      </w:r>
    </w:p>
    <w:p>
      <w:pPr>
        <w:pStyle w:val="104"/>
        <w:autoSpaceDE w:val="0"/>
        <w:autoSpaceDN w:val="0"/>
        <w:adjustRightInd w:val="0"/>
        <w:spacing w:line="400" w:lineRule="exact"/>
        <w:ind w:firstLine="0" w:firstLineChars="0"/>
        <w:jc w:val="center"/>
        <w:rPr>
          <w:rFonts w:ascii="宋体" w:hAnsi="宋体" w:cs="宋体"/>
          <w:szCs w:val="21"/>
        </w:rPr>
      </w:pPr>
      <w:r>
        <w:rPr>
          <w:rFonts w:ascii="宋体" w:hAnsi="宋体" w:cs="宋体"/>
          <w:szCs w:val="21"/>
        </w:rPr>
        <w:drawing>
          <wp:anchor distT="0" distB="0" distL="114300" distR="114300" simplePos="0" relativeHeight="251746304" behindDoc="0" locked="0" layoutInCell="1" allowOverlap="1">
            <wp:simplePos x="0" y="0"/>
            <wp:positionH relativeFrom="column">
              <wp:posOffset>1695450</wp:posOffset>
            </wp:positionH>
            <wp:positionV relativeFrom="paragraph">
              <wp:posOffset>361315</wp:posOffset>
            </wp:positionV>
            <wp:extent cx="2023745" cy="2212975"/>
            <wp:effectExtent l="0" t="0" r="0" b="0"/>
            <wp:wrapTopAndBottom/>
            <wp:docPr id="75363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324"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23745" cy="2212975"/>
                    </a:xfrm>
                    <a:prstGeom prst="rect">
                      <a:avLst/>
                    </a:prstGeom>
                    <a:noFill/>
                  </pic:spPr>
                </pic:pic>
              </a:graphicData>
            </a:graphic>
          </wp:anchor>
        </w:drawing>
      </w:r>
    </w:p>
    <w:p>
      <w:pPr>
        <w:autoSpaceDE w:val="0"/>
        <w:autoSpaceDN w:val="0"/>
        <w:adjustRightInd w:val="0"/>
        <w:spacing w:line="400" w:lineRule="exact"/>
        <w:jc w:val="center"/>
        <w:rPr>
          <w:rFonts w:ascii="宋体" w:hAnsi="宋体" w:cs="宋体"/>
          <w:szCs w:val="21"/>
        </w:rPr>
      </w:pPr>
      <w:r>
        <w:rPr>
          <w:rFonts w:hint="eastAsia" w:ascii="宋体" w:hAnsi="宋体" w:cs="宋体"/>
          <w:szCs w:val="21"/>
        </w:rPr>
        <w:t>图4.4.4-4 色环</w:t>
      </w:r>
    </w:p>
    <w:p>
      <w:pPr>
        <w:autoSpaceDE w:val="0"/>
        <w:autoSpaceDN w:val="0"/>
        <w:adjustRightInd w:val="0"/>
        <w:spacing w:line="400" w:lineRule="exact"/>
        <w:jc w:val="center"/>
        <w:rPr>
          <w:rFonts w:ascii="宋体" w:hAnsi="宋体" w:cs="宋体"/>
          <w:szCs w:val="21"/>
        </w:rPr>
      </w:pP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适老化的标识系统可增添艺术性、故事性和幽默元素，为老人带来联想思考和愉悦感受，满足老年人的心理需求。</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老人室外空间标识的结构需要有足够的安全性，边角以圆弧处理。同时应避免使用能产生眩光或过于黯淡的材料制作标识。标识系统应有光源、夜间照明或者采用自发光材料等，照度达到50Lx，以便于夜间识别。</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标识系统宜结合语音信息、智能化等辅助手段来增强导视信息。</w:t>
      </w:r>
    </w:p>
    <w:p>
      <w:pPr>
        <w:widowControl/>
        <w:spacing w:line="400" w:lineRule="exact"/>
        <w:jc w:val="left"/>
        <w:rPr>
          <w:rFonts w:cs="黑体" w:asciiTheme="minorEastAsia" w:hAnsiTheme="minorEastAsia" w:eastAsiaTheme="minorEastAsia"/>
          <w:kern w:val="44"/>
          <w:sz w:val="24"/>
          <w:szCs w:val="24"/>
        </w:rPr>
      </w:pPr>
      <w:r>
        <w:rPr>
          <w:rFonts w:cs="黑体" w:asciiTheme="minorEastAsia" w:hAnsiTheme="minorEastAsia" w:eastAsiaTheme="minorEastAsia"/>
          <w:kern w:val="44"/>
          <w:sz w:val="24"/>
          <w:szCs w:val="24"/>
        </w:rPr>
        <w:br w:type="page"/>
      </w:r>
    </w:p>
    <w:p>
      <w:pPr>
        <w:keepNext/>
        <w:keepLines/>
        <w:numPr>
          <w:ilvl w:val="0"/>
          <w:numId w:val="5"/>
        </w:numPr>
        <w:spacing w:before="187" w:beforeLines="60" w:after="187" w:afterLines="60" w:line="400" w:lineRule="exact"/>
        <w:jc w:val="center"/>
        <w:outlineLvl w:val="0"/>
        <w:rPr>
          <w:rFonts w:ascii="黑体" w:hAnsi="黑体" w:eastAsia="黑体" w:cs="黑体"/>
          <w:b/>
          <w:bCs/>
          <w:sz w:val="32"/>
          <w:szCs w:val="32"/>
        </w:rPr>
      </w:pPr>
      <w:bookmarkStart w:id="31" w:name="_Toc151217810"/>
      <w:r>
        <w:rPr>
          <w:rFonts w:hint="eastAsia" w:ascii="黑体" w:hAnsi="黑体" w:eastAsia="黑体" w:cs="黑体"/>
          <w:b/>
          <w:bCs/>
          <w:sz w:val="32"/>
          <w:szCs w:val="32"/>
        </w:rPr>
        <w:t>套内空间</w:t>
      </w:r>
      <w:bookmarkEnd w:id="31"/>
    </w:p>
    <w:p>
      <w:pPr>
        <w:keepNext/>
        <w:keepLines/>
        <w:numPr>
          <w:ilvl w:val="1"/>
          <w:numId w:val="5"/>
        </w:numPr>
        <w:spacing w:before="187" w:beforeLines="60" w:after="187" w:afterLines="60" w:line="400" w:lineRule="exact"/>
        <w:jc w:val="center"/>
        <w:outlineLvl w:val="0"/>
        <w:rPr>
          <w:rFonts w:ascii="黑体" w:hAnsi="黑体" w:eastAsia="黑体" w:cs="黑体"/>
          <w:b/>
          <w:bCs/>
          <w:sz w:val="32"/>
          <w:szCs w:val="32"/>
        </w:rPr>
      </w:pPr>
      <w:bookmarkStart w:id="32" w:name="_Toc151217811"/>
      <w:r>
        <w:rPr>
          <w:rFonts w:hint="eastAsia" w:ascii="黑体" w:hAnsi="黑体" w:eastAsia="黑体" w:cs="黑体"/>
          <w:b/>
          <w:bCs/>
          <w:sz w:val="32"/>
          <w:szCs w:val="32"/>
        </w:rPr>
        <w:t>地面</w:t>
      </w:r>
      <w:bookmarkEnd w:id="32"/>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室内地面应采用防滑、便于清扫、耐污、耐磨的材质。室内防滑等级应达到现行行业标准《建筑地面工程防滑技术规程》J</w:t>
      </w:r>
      <w:r>
        <w:rPr>
          <w:rFonts w:cs="黑体" w:asciiTheme="minorEastAsia" w:hAnsiTheme="minorEastAsia" w:eastAsiaTheme="minorEastAsia"/>
          <w:kern w:val="44"/>
          <w:sz w:val="24"/>
          <w:szCs w:val="24"/>
        </w:rPr>
        <w:t>GJ/T 331</w:t>
      </w:r>
      <w:r>
        <w:rPr>
          <w:rFonts w:hint="eastAsia" w:cs="黑体" w:asciiTheme="minorEastAsia" w:hAnsiTheme="minorEastAsia" w:eastAsiaTheme="minorEastAsia"/>
          <w:kern w:val="44"/>
          <w:sz w:val="24"/>
          <w:szCs w:val="24"/>
        </w:rPr>
        <w:t>规定的A</w:t>
      </w:r>
      <w:r>
        <w:rPr>
          <w:rFonts w:cs="黑体" w:asciiTheme="minorEastAsia" w:hAnsiTheme="minorEastAsia" w:eastAsiaTheme="minorEastAsia"/>
          <w:kern w:val="44"/>
          <w:sz w:val="32"/>
          <w:szCs w:val="32"/>
          <w:vertAlign w:val="subscript"/>
        </w:rPr>
        <w:t>d</w:t>
      </w:r>
      <w:r>
        <w:rPr>
          <w:rFonts w:hint="eastAsia" w:cs="黑体" w:asciiTheme="minorEastAsia" w:hAnsiTheme="minorEastAsia" w:eastAsiaTheme="minorEastAsia"/>
          <w:kern w:val="44"/>
          <w:sz w:val="24"/>
          <w:szCs w:val="24"/>
        </w:rPr>
        <w:t>、A</w:t>
      </w:r>
      <w:r>
        <w:rPr>
          <w:rFonts w:cs="黑体" w:asciiTheme="minorEastAsia" w:hAnsiTheme="minorEastAsia" w:eastAsiaTheme="minorEastAsia"/>
          <w:kern w:val="44"/>
          <w:sz w:val="32"/>
          <w:szCs w:val="32"/>
          <w:vertAlign w:val="subscript"/>
        </w:rPr>
        <w:t>w</w:t>
      </w:r>
      <w:r>
        <w:rPr>
          <w:rFonts w:hint="eastAsia" w:cs="黑体" w:asciiTheme="minorEastAsia" w:hAnsiTheme="minorEastAsia" w:eastAsiaTheme="minorEastAsia"/>
          <w:kern w:val="44"/>
          <w:sz w:val="24"/>
          <w:szCs w:val="24"/>
        </w:rPr>
        <w:t>级的要求。相邻空间衔接处的地面材质摩擦系数差别不宜过大。</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地面面层材料要避免产生炫光，色彩的选用尽量要与墙面明度有区别，使边界明显易见。</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卫生间、厨房、封闭的阳台等出入口位置的高差，应优先采用地面找坡、压条找坡等方式将高差消除在卫生间、厨房或阳台区域。</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当室内地面高差小于3mm时，应做抹角处理；当室内地面高差在3～15mm时，应做斜面过渡；室内地面高差不得大于15mm。（图5.1.4-1、图5.1.4-2）</w:t>
      </w:r>
    </w:p>
    <w:p>
      <w:pPr>
        <w:autoSpaceDE w:val="0"/>
        <w:autoSpaceDN w:val="0"/>
        <w:spacing w:line="400" w:lineRule="exact"/>
        <w:jc w:val="center"/>
        <w:rPr>
          <w:rFonts w:ascii="宋体" w:hAnsi="宋体" w:cs="宋体"/>
          <w:szCs w:val="21"/>
        </w:rPr>
      </w:pPr>
      <w:r>
        <w:rPr>
          <w:rFonts w:hint="eastAsia" w:cs="黑体" w:asciiTheme="minorEastAsia" w:hAnsiTheme="minorEastAsia" w:eastAsiaTheme="minorEastAsia"/>
          <w:kern w:val="44"/>
          <w:sz w:val="24"/>
          <w:szCs w:val="24"/>
        </w:rPr>
        <w:drawing>
          <wp:anchor distT="0" distB="0" distL="114300" distR="114300" simplePos="0" relativeHeight="251730944" behindDoc="0" locked="0" layoutInCell="1" allowOverlap="1">
            <wp:simplePos x="0" y="0"/>
            <wp:positionH relativeFrom="margin">
              <wp:posOffset>0</wp:posOffset>
            </wp:positionH>
            <wp:positionV relativeFrom="paragraph">
              <wp:posOffset>365760</wp:posOffset>
            </wp:positionV>
            <wp:extent cx="2683510" cy="1340485"/>
            <wp:effectExtent l="0" t="0" r="2540" b="0"/>
            <wp:wrapTopAndBottom/>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3" cstate="print">
                      <a:extLst>
                        <a:ext uri="{28A0092B-C50C-407E-A947-70E740481C1C}">
                          <a14:useLocalDpi xmlns:a14="http://schemas.microsoft.com/office/drawing/2010/main" val="0"/>
                        </a:ext>
                      </a:extLst>
                    </a:blip>
                    <a:srcRect l="14947" t="51617" r="12445" b="12096"/>
                    <a:stretch>
                      <a:fillRect/>
                    </a:stretch>
                  </pic:blipFill>
                  <pic:spPr>
                    <a:xfrm>
                      <a:off x="0" y="0"/>
                      <a:ext cx="2683510" cy="1340485"/>
                    </a:xfrm>
                    <a:prstGeom prst="rect">
                      <a:avLst/>
                    </a:prstGeom>
                    <a:ln>
                      <a:noFill/>
                    </a:ln>
                  </pic:spPr>
                </pic:pic>
              </a:graphicData>
            </a:graphic>
          </wp:anchor>
        </w:drawing>
      </w:r>
      <w:r>
        <w:rPr>
          <w:rFonts w:hint="eastAsia" w:cs="黑体" w:asciiTheme="minorEastAsia" w:hAnsiTheme="minorEastAsia" w:eastAsiaTheme="minorEastAsia"/>
          <w:kern w:val="44"/>
          <w:sz w:val="24"/>
          <w:szCs w:val="24"/>
        </w:rPr>
        <w:drawing>
          <wp:anchor distT="0" distB="0" distL="114300" distR="114300" simplePos="0" relativeHeight="251731968" behindDoc="0" locked="0" layoutInCell="1" allowOverlap="1">
            <wp:simplePos x="0" y="0"/>
            <wp:positionH relativeFrom="column">
              <wp:posOffset>2599690</wp:posOffset>
            </wp:positionH>
            <wp:positionV relativeFrom="paragraph">
              <wp:posOffset>243840</wp:posOffset>
            </wp:positionV>
            <wp:extent cx="3051175" cy="1383030"/>
            <wp:effectExtent l="0" t="0" r="0" b="7620"/>
            <wp:wrapTopAndBottom/>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4" cstate="print">
                      <a:extLst>
                        <a:ext uri="{28A0092B-C50C-407E-A947-70E740481C1C}">
                          <a14:useLocalDpi xmlns:a14="http://schemas.microsoft.com/office/drawing/2010/main" val="0"/>
                        </a:ext>
                      </a:extLst>
                    </a:blip>
                    <a:srcRect l="11084" t="48371" r="5908" b="13992"/>
                    <a:stretch>
                      <a:fillRect/>
                    </a:stretch>
                  </pic:blipFill>
                  <pic:spPr>
                    <a:xfrm>
                      <a:off x="0" y="0"/>
                      <a:ext cx="3051175" cy="1383030"/>
                    </a:xfrm>
                    <a:prstGeom prst="rect">
                      <a:avLst/>
                    </a:prstGeom>
                    <a:ln>
                      <a:noFill/>
                    </a:ln>
                  </pic:spPr>
                </pic:pic>
              </a:graphicData>
            </a:graphic>
          </wp:anchor>
        </w:drawing>
      </w:r>
      <w:r>
        <w:rPr>
          <w:rFonts w:hint="eastAsia" w:ascii="宋体" w:hAnsi="宋体" w:cs="宋体"/>
          <w:szCs w:val="21"/>
        </w:rPr>
        <w:t>图5.1.4-1 抹角处理                    图5.1.4-2 斜面过渡处理</w:t>
      </w:r>
    </w:p>
    <w:p>
      <w:pPr>
        <w:autoSpaceDE w:val="0"/>
        <w:autoSpaceDN w:val="0"/>
        <w:adjustRightInd w:val="0"/>
        <w:spacing w:line="400" w:lineRule="exact"/>
        <w:rPr>
          <w:rFonts w:ascii="宋体" w:hAnsi="宋体" w:cs="宋体"/>
          <w:szCs w:val="21"/>
        </w:rPr>
      </w:pP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室内有高差变化处，或在玄关等需要弯腰、起身、下蹲的一些必要位置，应加设竖向扶手。</w:t>
      </w:r>
    </w:p>
    <w:p>
      <w:pPr>
        <w:keepNext/>
        <w:keepLines/>
        <w:numPr>
          <w:ilvl w:val="1"/>
          <w:numId w:val="5"/>
        </w:numPr>
        <w:spacing w:before="187" w:beforeLines="60" w:after="187" w:afterLines="60" w:line="400" w:lineRule="exact"/>
        <w:jc w:val="center"/>
        <w:outlineLvl w:val="0"/>
        <w:rPr>
          <w:rFonts w:ascii="黑体" w:hAnsi="黑体" w:eastAsia="黑体" w:cs="黑体"/>
          <w:b/>
          <w:bCs/>
          <w:sz w:val="32"/>
          <w:szCs w:val="32"/>
        </w:rPr>
      </w:pPr>
      <w:bookmarkStart w:id="33" w:name="_Toc151217812"/>
      <w:r>
        <w:rPr>
          <w:rFonts w:hint="eastAsia" w:ascii="黑体" w:hAnsi="黑体" w:eastAsia="黑体" w:cs="黑体"/>
          <w:b/>
          <w:bCs/>
          <w:sz w:val="32"/>
          <w:szCs w:val="32"/>
        </w:rPr>
        <w:t>入户空间</w:t>
      </w:r>
      <w:bookmarkEnd w:id="33"/>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入户空间宜考虑老年人置物、开门以及入户后老年人坐姿换鞋、更衣、取放物品、开关全屋灯光等行为的安全性和便捷性。</w:t>
      </w:r>
    </w:p>
    <w:p>
      <w:pPr>
        <w:pStyle w:val="104"/>
        <w:numPr>
          <w:ilvl w:val="0"/>
          <w:numId w:val="11"/>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drawing>
          <wp:anchor distT="0" distB="0" distL="114300" distR="114300" simplePos="0" relativeHeight="251681792" behindDoc="0" locked="0" layoutInCell="1" allowOverlap="1">
            <wp:simplePos x="0" y="0"/>
            <wp:positionH relativeFrom="margin">
              <wp:posOffset>942975</wp:posOffset>
            </wp:positionH>
            <wp:positionV relativeFrom="page">
              <wp:posOffset>1485900</wp:posOffset>
            </wp:positionV>
            <wp:extent cx="3286125" cy="3705225"/>
            <wp:effectExtent l="0" t="0" r="9525" b="9525"/>
            <wp:wrapTopAndBottom/>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cstate="print">
                      <a:extLst>
                        <a:ext uri="{28A0092B-C50C-407E-A947-70E740481C1C}">
                          <a14:useLocalDpi xmlns:a14="http://schemas.microsoft.com/office/drawing/2010/main" val="0"/>
                        </a:ext>
                      </a:extLst>
                    </a:blip>
                    <a:srcRect l="12589" t="12008" r="15023" b="6341"/>
                    <a:stretch>
                      <a:fillRect/>
                    </a:stretch>
                  </pic:blipFill>
                  <pic:spPr>
                    <a:xfrm>
                      <a:off x="0" y="0"/>
                      <a:ext cx="3286125" cy="3705225"/>
                    </a:xfrm>
                    <a:prstGeom prst="rect">
                      <a:avLst/>
                    </a:prstGeom>
                    <a:ln>
                      <a:noFill/>
                    </a:ln>
                  </pic:spPr>
                </pic:pic>
              </a:graphicData>
            </a:graphic>
          </wp:anchor>
        </w:drawing>
      </w:r>
      <w:r>
        <w:rPr>
          <w:rFonts w:hint="eastAsia" w:ascii="宋体" w:hAnsi="宋体" w:cs="宋体"/>
          <w:sz w:val="24"/>
          <w:szCs w:val="24"/>
        </w:rPr>
        <w:t>翻板换鞋凳不应影响玄关通行宽度，宜就近设置外移式鞋柜方便老年人换鞋。（图5.2.1-1）</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图5.2.1-1</w:t>
      </w:r>
    </w:p>
    <w:p>
      <w:pPr>
        <w:pStyle w:val="104"/>
        <w:autoSpaceDE w:val="0"/>
        <w:autoSpaceDN w:val="0"/>
        <w:adjustRightInd w:val="0"/>
        <w:spacing w:line="400" w:lineRule="exact"/>
        <w:ind w:firstLine="0" w:firstLineChars="0"/>
        <w:jc w:val="center"/>
        <w:rPr>
          <w:rFonts w:ascii="宋体" w:hAnsi="宋体" w:cs="宋体"/>
          <w:szCs w:val="21"/>
        </w:rPr>
      </w:pPr>
    </w:p>
    <w:p>
      <w:pPr>
        <w:pStyle w:val="104"/>
        <w:numPr>
          <w:ilvl w:val="0"/>
          <w:numId w:val="11"/>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drawing>
          <wp:anchor distT="0" distB="0" distL="114300" distR="114300" simplePos="0" relativeHeight="251682816" behindDoc="0" locked="0" layoutInCell="1" allowOverlap="1">
            <wp:simplePos x="0" y="0"/>
            <wp:positionH relativeFrom="margin">
              <wp:posOffset>1075690</wp:posOffset>
            </wp:positionH>
            <wp:positionV relativeFrom="page">
              <wp:posOffset>6028690</wp:posOffset>
            </wp:positionV>
            <wp:extent cx="3095625" cy="3140710"/>
            <wp:effectExtent l="0" t="0" r="9525" b="2540"/>
            <wp:wrapTopAndBottom/>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6" cstate="print">
                      <a:extLst>
                        <a:ext uri="{28A0092B-C50C-407E-A947-70E740481C1C}">
                          <a14:useLocalDpi xmlns:a14="http://schemas.microsoft.com/office/drawing/2010/main" val="0"/>
                        </a:ext>
                      </a:extLst>
                    </a:blip>
                    <a:srcRect l="14279" t="12147" r="8915" b="9888"/>
                    <a:stretch>
                      <a:fillRect/>
                    </a:stretch>
                  </pic:blipFill>
                  <pic:spPr>
                    <a:xfrm>
                      <a:off x="0" y="0"/>
                      <a:ext cx="3095625" cy="3140710"/>
                    </a:xfrm>
                    <a:prstGeom prst="rect">
                      <a:avLst/>
                    </a:prstGeom>
                    <a:ln>
                      <a:noFill/>
                    </a:ln>
                  </pic:spPr>
                </pic:pic>
              </a:graphicData>
            </a:graphic>
          </wp:anchor>
        </w:drawing>
      </w:r>
      <w:r>
        <w:rPr>
          <w:rFonts w:hint="eastAsia" w:ascii="宋体" w:hAnsi="宋体" w:cs="宋体"/>
          <w:sz w:val="24"/>
          <w:szCs w:val="24"/>
        </w:rPr>
        <w:t>设置换鞋凳、鞋柜、置物台以及轮椅存放空间等。（图5.2.1-2）</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图5.2.1-2</w:t>
      </w:r>
    </w:p>
    <w:p>
      <w:pPr>
        <w:pStyle w:val="104"/>
        <w:autoSpaceDE w:val="0"/>
        <w:autoSpaceDN w:val="0"/>
        <w:adjustRightInd w:val="0"/>
        <w:spacing w:line="400" w:lineRule="exact"/>
        <w:ind w:firstLine="0" w:firstLineChars="0"/>
        <w:jc w:val="center"/>
        <w:rPr>
          <w:rFonts w:ascii="宋体" w:hAnsi="宋体" w:cs="宋体"/>
          <w:szCs w:val="21"/>
        </w:rPr>
      </w:pP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公共走道与套内空间宜无高差，若高差无法避免，高差不应大于15mm，应考虑老年人身体健康状况和室内外高差类型采取相应的措施。</w:t>
      </w:r>
    </w:p>
    <w:p>
      <w:pPr>
        <w:pStyle w:val="104"/>
        <w:numPr>
          <w:ilvl w:val="0"/>
          <w:numId w:val="12"/>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drawing>
          <wp:anchor distT="0" distB="0" distL="114300" distR="114300" simplePos="0" relativeHeight="251683840" behindDoc="0" locked="0" layoutInCell="1" allowOverlap="1">
            <wp:simplePos x="0" y="0"/>
            <wp:positionH relativeFrom="margin">
              <wp:posOffset>501650</wp:posOffset>
            </wp:positionH>
            <wp:positionV relativeFrom="paragraph">
              <wp:posOffset>844550</wp:posOffset>
            </wp:positionV>
            <wp:extent cx="4285615" cy="3124835"/>
            <wp:effectExtent l="0" t="0" r="635" b="0"/>
            <wp:wrapTopAndBottom/>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7" cstate="print">
                      <a:extLst>
                        <a:ext uri="{28A0092B-C50C-407E-A947-70E740481C1C}">
                          <a14:useLocalDpi xmlns:a14="http://schemas.microsoft.com/office/drawing/2010/main" val="0"/>
                        </a:ext>
                      </a:extLst>
                    </a:blip>
                    <a:srcRect t="14393" b="12657"/>
                    <a:stretch>
                      <a:fillRect/>
                    </a:stretch>
                  </pic:blipFill>
                  <pic:spPr>
                    <a:xfrm>
                      <a:off x="0" y="0"/>
                      <a:ext cx="4285615" cy="3124835"/>
                    </a:xfrm>
                    <a:prstGeom prst="rect">
                      <a:avLst/>
                    </a:prstGeom>
                    <a:ln>
                      <a:noFill/>
                    </a:ln>
                  </pic:spPr>
                </pic:pic>
              </a:graphicData>
            </a:graphic>
          </wp:anchor>
        </w:drawing>
      </w:r>
      <w:r>
        <w:rPr>
          <w:rFonts w:hint="eastAsia" w:ascii="宋体" w:hAnsi="宋体" w:cs="宋体"/>
          <w:sz w:val="24"/>
          <w:szCs w:val="24"/>
        </w:rPr>
        <w:t>室内外高差可采用小坡道解决高差，并在门附近墙面设置竖向扶手供老年人撑扶，扶手底端距地高度宜为700mm，扶手顶端距地高度宜大于1400mm。（图5.2.2）</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图5.2.2</w:t>
      </w:r>
    </w:p>
    <w:p>
      <w:pPr>
        <w:pStyle w:val="104"/>
        <w:autoSpaceDE w:val="0"/>
        <w:autoSpaceDN w:val="0"/>
        <w:adjustRightInd w:val="0"/>
        <w:spacing w:line="400" w:lineRule="exact"/>
        <w:ind w:firstLine="0" w:firstLineChars="0"/>
        <w:jc w:val="center"/>
        <w:rPr>
          <w:rFonts w:ascii="宋体" w:hAnsi="宋体" w:cs="宋体"/>
          <w:szCs w:val="21"/>
        </w:rPr>
      </w:pPr>
    </w:p>
    <w:p>
      <w:pPr>
        <w:pStyle w:val="104"/>
        <w:numPr>
          <w:ilvl w:val="0"/>
          <w:numId w:val="12"/>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应安装无门槛的入户门。</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入户门的有效宽度不应小于900mm，方便坐轮椅的老年人进出。</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入户门上宜设置猫眼，确保老年人的居家安全性。</w:t>
      </w:r>
      <w:r>
        <w:rPr>
          <w:rFonts w:hint="eastAsia" w:ascii="宋体" w:hAnsi="宋体" w:cs="宋体"/>
          <w:kern w:val="0"/>
          <w:sz w:val="24"/>
          <w:szCs w:val="24"/>
        </w:rPr>
        <w:t>宜设置高低位双猫眼，以满足乘坐轮椅的老年人及老年人身体弯曲时的低视线观察需求，同时便于其他人员使用。高位猫眼的距地高度宜为1500mm，低位猫眼的距地高度宜为1200mm。</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入户门口宜设置置物架或挂钩，置物架的高度根据老年人身高宜为850mm～900mm高，其下宜设置挂钩，置物架和挂钩不得影响正常通行。</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老年人入户门锁宜采用智能锁，如支持IC卡、密码输入、人脸识别等多种开锁方式的智能锁，方便老年人开门。入户门锁宜具有未关报警功能。</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在入户门处可安装无线声光门铃，给听力或视力较弱的老年人以声音和发光闪烁双重提示。</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对于自理老年人，玄关的通行净宽不应小于1200mm。对于乘坐轮椅的老年人，宜有满足轮椅转向的空间。</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对于起身困难的老年人，宜在换鞋凳旁增设竖向扶手，以协助老年人起立，扶手安装应牢固。</w:t>
      </w:r>
    </w:p>
    <w:p>
      <w:pPr>
        <w:keepNext/>
        <w:keepLines/>
        <w:numPr>
          <w:ilvl w:val="1"/>
          <w:numId w:val="5"/>
        </w:numPr>
        <w:spacing w:before="187" w:beforeLines="60" w:after="187" w:afterLines="60" w:line="400" w:lineRule="exact"/>
        <w:jc w:val="center"/>
        <w:outlineLvl w:val="0"/>
        <w:rPr>
          <w:rFonts w:ascii="黑体" w:hAnsi="黑体" w:eastAsia="黑体" w:cs="黑体"/>
          <w:b/>
          <w:bCs/>
          <w:sz w:val="32"/>
          <w:szCs w:val="32"/>
        </w:rPr>
      </w:pPr>
      <w:bookmarkStart w:id="34" w:name="_Toc151217813"/>
      <w:r>
        <w:rPr>
          <w:rFonts w:hint="eastAsia" w:ascii="黑体" w:hAnsi="黑体" w:eastAsia="黑体" w:cs="黑体"/>
          <w:b/>
          <w:bCs/>
          <w:sz w:val="32"/>
          <w:szCs w:val="32"/>
        </w:rPr>
        <w:t>起居室</w:t>
      </w:r>
      <w:bookmarkEnd w:id="34"/>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起居室的设计宜考虑老年人通行、活动、交谈、与其他人员团聚等行为的空间需求。</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电视机柜高度宜为450mm～600mm，与老年人坐姿视线高度相平或略高，防止老年人长时间低头看电视造成颈部酸痛。电视机柜旁宜设置矮柜，矮柜高度宜为850～900mm高，方便老年人搁置物品及临时撑扶。（图5.3.2）</w:t>
      </w:r>
    </w:p>
    <w:p>
      <w:pPr>
        <w:autoSpaceDE w:val="0"/>
        <w:autoSpaceDN w:val="0"/>
        <w:adjustRightInd w:val="0"/>
        <w:spacing w:line="400" w:lineRule="exact"/>
        <w:jc w:val="center"/>
        <w:rPr>
          <w:rFonts w:ascii="宋体" w:hAnsi="宋体" w:cs="宋体"/>
          <w:szCs w:val="21"/>
        </w:rPr>
      </w:pPr>
      <w:r>
        <w:rPr>
          <w:rFonts w:hint="eastAsia" w:cs="黑体" w:asciiTheme="minorEastAsia" w:hAnsiTheme="minorEastAsia" w:eastAsiaTheme="minorEastAsia"/>
          <w:kern w:val="44"/>
          <w:sz w:val="24"/>
          <w:szCs w:val="24"/>
        </w:rPr>
        <w:drawing>
          <wp:anchor distT="0" distB="0" distL="114300" distR="114300" simplePos="0" relativeHeight="251734016" behindDoc="0" locked="0" layoutInCell="1" allowOverlap="1">
            <wp:simplePos x="0" y="0"/>
            <wp:positionH relativeFrom="margin">
              <wp:posOffset>-275590</wp:posOffset>
            </wp:positionH>
            <wp:positionV relativeFrom="paragraph">
              <wp:posOffset>215900</wp:posOffset>
            </wp:positionV>
            <wp:extent cx="3499485" cy="2026920"/>
            <wp:effectExtent l="0" t="0" r="5715" b="0"/>
            <wp:wrapTopAndBottom/>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8" cstate="print">
                      <a:extLst>
                        <a:ext uri="{28A0092B-C50C-407E-A947-70E740481C1C}">
                          <a14:useLocalDpi xmlns:a14="http://schemas.microsoft.com/office/drawing/2010/main" val="0"/>
                        </a:ext>
                      </a:extLst>
                    </a:blip>
                    <a:srcRect t="16389" b="25693"/>
                    <a:stretch>
                      <a:fillRect/>
                    </a:stretch>
                  </pic:blipFill>
                  <pic:spPr>
                    <a:xfrm>
                      <a:off x="0" y="0"/>
                      <a:ext cx="3499485" cy="2026920"/>
                    </a:xfrm>
                    <a:prstGeom prst="rect">
                      <a:avLst/>
                    </a:prstGeom>
                    <a:ln>
                      <a:noFill/>
                    </a:ln>
                  </pic:spPr>
                </pic:pic>
              </a:graphicData>
            </a:graphic>
          </wp:anchor>
        </w:drawing>
      </w:r>
      <w:r>
        <w:rPr>
          <w:rFonts w:hint="eastAsia" w:cs="黑体" w:asciiTheme="minorEastAsia" w:hAnsiTheme="minorEastAsia" w:eastAsiaTheme="minorEastAsia"/>
          <w:kern w:val="44"/>
          <w:sz w:val="24"/>
          <w:szCs w:val="24"/>
        </w:rPr>
        <w:drawing>
          <wp:anchor distT="0" distB="0" distL="114300" distR="114300" simplePos="0" relativeHeight="251735040" behindDoc="0" locked="0" layoutInCell="1" allowOverlap="1">
            <wp:simplePos x="0" y="0"/>
            <wp:positionH relativeFrom="margin">
              <wp:posOffset>3105785</wp:posOffset>
            </wp:positionH>
            <wp:positionV relativeFrom="paragraph">
              <wp:posOffset>556260</wp:posOffset>
            </wp:positionV>
            <wp:extent cx="2319020" cy="1685290"/>
            <wp:effectExtent l="0" t="0" r="5080" b="0"/>
            <wp:wrapTopAndBottom/>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9" cstate="print">
                      <a:extLst>
                        <a:ext uri="{28A0092B-C50C-407E-A947-70E740481C1C}">
                          <a14:useLocalDpi xmlns:a14="http://schemas.microsoft.com/office/drawing/2010/main" val="0"/>
                        </a:ext>
                      </a:extLst>
                    </a:blip>
                    <a:srcRect l="15066" t="27919" r="14765" b="21036"/>
                    <a:stretch>
                      <a:fillRect/>
                    </a:stretch>
                  </pic:blipFill>
                  <pic:spPr>
                    <a:xfrm>
                      <a:off x="0" y="0"/>
                      <a:ext cx="2319020" cy="1685290"/>
                    </a:xfrm>
                    <a:prstGeom prst="rect">
                      <a:avLst/>
                    </a:prstGeom>
                    <a:ln>
                      <a:noFill/>
                    </a:ln>
                  </pic:spPr>
                </pic:pic>
              </a:graphicData>
            </a:graphic>
          </wp:anchor>
        </w:drawing>
      </w:r>
      <w:r>
        <w:rPr>
          <w:rFonts w:hint="eastAsia" w:ascii="宋体" w:hAnsi="宋体" w:cs="宋体"/>
          <w:szCs w:val="21"/>
        </w:rPr>
        <w:t>图5.3.2</w:t>
      </w:r>
    </w:p>
    <w:p>
      <w:pPr>
        <w:autoSpaceDE w:val="0"/>
        <w:autoSpaceDN w:val="0"/>
        <w:adjustRightInd w:val="0"/>
        <w:spacing w:line="400" w:lineRule="exact"/>
        <w:jc w:val="center"/>
        <w:rPr>
          <w:rFonts w:ascii="宋体" w:hAnsi="宋体" w:cs="宋体"/>
          <w:szCs w:val="21"/>
        </w:rPr>
      </w:pP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起居厅电视机周围的墙面和卧室门，宜做隔声处理，避免老年人将电视机音量调大时对其他房间造成干扰。</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起居厅中老年人使用的沙发宜选用适老性沙发，或在沙发上设置助起扶手或采用电动助起沙发。</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起居厅照明宜根据老年人看电视、做家务、看书、聚会等不同情况设置局部照明。</w:t>
      </w:r>
    </w:p>
    <w:p>
      <w:pPr>
        <w:keepNext/>
        <w:keepLines/>
        <w:numPr>
          <w:ilvl w:val="1"/>
          <w:numId w:val="5"/>
        </w:numPr>
        <w:spacing w:before="187" w:beforeLines="60" w:after="187" w:afterLines="60" w:line="400" w:lineRule="exact"/>
        <w:jc w:val="center"/>
        <w:outlineLvl w:val="0"/>
        <w:rPr>
          <w:rFonts w:ascii="黑体" w:hAnsi="黑体" w:eastAsia="黑体" w:cs="黑体"/>
          <w:b/>
          <w:bCs/>
          <w:sz w:val="32"/>
          <w:szCs w:val="32"/>
        </w:rPr>
      </w:pPr>
      <w:bookmarkStart w:id="35" w:name="_Toc151217814"/>
      <w:r>
        <w:rPr>
          <w:rFonts w:hint="eastAsia" w:ascii="黑体" w:hAnsi="黑体" w:eastAsia="黑体" w:cs="黑体"/>
          <w:b/>
          <w:bCs/>
          <w:sz w:val="32"/>
          <w:szCs w:val="32"/>
        </w:rPr>
        <w:t>餐厅</w:t>
      </w:r>
      <w:bookmarkEnd w:id="35"/>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对餐厅进行适老化设计时，宜考虑老年人就餐、活动、交谈等行为的空间需求。</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餐厅宜紧邻厨房，缩短老年人往返厨房与餐厅的距离，避免老年人手持餐具行走过长距离。</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餐厅到厨房的动线不宜穿越门厅等其他空间，以免与他人相撞或被地上的鞋绊倒。</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餐桌周边的通行净距不宜少于</w:t>
      </w:r>
      <w:r>
        <w:rPr>
          <w:rFonts w:cs="黑体" w:asciiTheme="minorEastAsia" w:hAnsiTheme="minorEastAsia" w:eastAsiaTheme="minorEastAsia"/>
          <w:kern w:val="44"/>
          <w:sz w:val="24"/>
          <w:szCs w:val="24"/>
        </w:rPr>
        <w:t>9</w:t>
      </w:r>
      <w:r>
        <w:rPr>
          <w:rFonts w:hint="eastAsia" w:cs="黑体" w:asciiTheme="minorEastAsia" w:hAnsiTheme="minorEastAsia" w:eastAsiaTheme="minorEastAsia"/>
          <w:kern w:val="44"/>
          <w:sz w:val="24"/>
          <w:szCs w:val="24"/>
        </w:rPr>
        <w:t>00mm。</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餐厅宜采用适老性餐桌、餐椅。</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餐桌旁宜布置备餐柜或备餐台，用于放置电热水壶等常用物品。餐边柜上方宜设插座。</w:t>
      </w:r>
    </w:p>
    <w:p>
      <w:pPr>
        <w:keepNext/>
        <w:keepLines/>
        <w:numPr>
          <w:ilvl w:val="1"/>
          <w:numId w:val="5"/>
        </w:numPr>
        <w:spacing w:before="187" w:beforeLines="60" w:after="187" w:afterLines="60" w:line="400" w:lineRule="exact"/>
        <w:jc w:val="center"/>
        <w:outlineLvl w:val="0"/>
        <w:rPr>
          <w:rFonts w:ascii="黑体" w:hAnsi="黑体" w:eastAsia="黑体" w:cs="黑体"/>
          <w:b/>
          <w:bCs/>
          <w:sz w:val="32"/>
          <w:szCs w:val="32"/>
        </w:rPr>
      </w:pPr>
      <w:bookmarkStart w:id="36" w:name="_Toc151217815"/>
      <w:r>
        <w:rPr>
          <w:rFonts w:hint="eastAsia" w:ascii="黑体" w:hAnsi="黑体" w:eastAsia="黑体" w:cs="黑体"/>
          <w:b/>
          <w:bCs/>
          <w:sz w:val="32"/>
          <w:szCs w:val="32"/>
        </w:rPr>
        <w:t>卧室</w:t>
      </w:r>
      <w:bookmarkEnd w:id="36"/>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对卧室进行适老化设计时，应考虑老年人睡眠、休闲、通行、储藏等行为的空间需求。</w:t>
      </w:r>
    </w:p>
    <w:p>
      <w:pPr>
        <w:pStyle w:val="104"/>
        <w:numPr>
          <w:ilvl w:val="0"/>
          <w:numId w:val="13"/>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drawing>
          <wp:anchor distT="0" distB="0" distL="114300" distR="114300" simplePos="0" relativeHeight="251691008" behindDoc="0" locked="0" layoutInCell="1" allowOverlap="1">
            <wp:simplePos x="0" y="0"/>
            <wp:positionH relativeFrom="margin">
              <wp:posOffset>1257935</wp:posOffset>
            </wp:positionH>
            <wp:positionV relativeFrom="paragraph">
              <wp:posOffset>513715</wp:posOffset>
            </wp:positionV>
            <wp:extent cx="2717800" cy="2226310"/>
            <wp:effectExtent l="0" t="0" r="6350" b="2540"/>
            <wp:wrapTopAndBottom/>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0" cstate="print">
                      <a:extLst>
                        <a:ext uri="{28A0092B-C50C-407E-A947-70E740481C1C}">
                          <a14:useLocalDpi xmlns:a14="http://schemas.microsoft.com/office/drawing/2010/main" val="0"/>
                        </a:ext>
                      </a:extLst>
                    </a:blip>
                    <a:srcRect l="20019" t="21226" r="5518" b="17760"/>
                    <a:stretch>
                      <a:fillRect/>
                    </a:stretch>
                  </pic:blipFill>
                  <pic:spPr>
                    <a:xfrm>
                      <a:off x="0" y="0"/>
                      <a:ext cx="2717800" cy="2226310"/>
                    </a:xfrm>
                    <a:prstGeom prst="rect">
                      <a:avLst/>
                    </a:prstGeom>
                    <a:ln>
                      <a:noFill/>
                    </a:ln>
                  </pic:spPr>
                </pic:pic>
              </a:graphicData>
            </a:graphic>
          </wp:anchor>
        </w:drawing>
      </w:r>
      <w:r>
        <w:rPr>
          <w:rFonts w:hint="eastAsia" w:ascii="宋体" w:hAnsi="宋体" w:cs="宋体"/>
          <w:sz w:val="24"/>
          <w:szCs w:val="24"/>
        </w:rPr>
        <w:t>当老年人单人居住，需要护理时，宜配置护理床，床宜居中放置，两边留空，方便照护人员操作。（图5.5.1-1）</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图5.5.1-1</w:t>
      </w:r>
    </w:p>
    <w:p>
      <w:pPr>
        <w:pStyle w:val="104"/>
        <w:autoSpaceDE w:val="0"/>
        <w:autoSpaceDN w:val="0"/>
        <w:adjustRightInd w:val="0"/>
        <w:spacing w:line="400" w:lineRule="exact"/>
        <w:ind w:firstLine="0" w:firstLineChars="0"/>
        <w:jc w:val="center"/>
        <w:rPr>
          <w:rFonts w:ascii="宋体" w:hAnsi="宋体" w:cs="宋体"/>
          <w:szCs w:val="21"/>
        </w:rPr>
      </w:pPr>
    </w:p>
    <w:p>
      <w:pPr>
        <w:pStyle w:val="104"/>
        <w:numPr>
          <w:ilvl w:val="0"/>
          <w:numId w:val="13"/>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drawing>
          <wp:anchor distT="0" distB="0" distL="114300" distR="114300" simplePos="0" relativeHeight="251693056" behindDoc="0" locked="0" layoutInCell="1" allowOverlap="1">
            <wp:simplePos x="0" y="0"/>
            <wp:positionH relativeFrom="column">
              <wp:posOffset>2800350</wp:posOffset>
            </wp:positionH>
            <wp:positionV relativeFrom="paragraph">
              <wp:posOffset>784860</wp:posOffset>
            </wp:positionV>
            <wp:extent cx="1741170" cy="2216150"/>
            <wp:effectExtent l="0" t="0" r="0" b="0"/>
            <wp:wrapTopAndBottom/>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1" cstate="print">
                      <a:extLst>
                        <a:ext uri="{28A0092B-C50C-407E-A947-70E740481C1C}">
                          <a14:useLocalDpi xmlns:a14="http://schemas.microsoft.com/office/drawing/2010/main" val="0"/>
                        </a:ext>
                      </a:extLst>
                    </a:blip>
                    <a:srcRect l="25572" t="20887" r="26259" b="17862"/>
                    <a:stretch>
                      <a:fillRect/>
                    </a:stretch>
                  </pic:blipFill>
                  <pic:spPr>
                    <a:xfrm>
                      <a:off x="0" y="0"/>
                      <a:ext cx="1741170" cy="2216150"/>
                    </a:xfrm>
                    <a:prstGeom prst="rect">
                      <a:avLst/>
                    </a:prstGeom>
                    <a:ln>
                      <a:noFill/>
                    </a:ln>
                  </pic:spPr>
                </pic:pic>
              </a:graphicData>
            </a:graphic>
          </wp:anchor>
        </w:drawing>
      </w:r>
      <w:r>
        <w:rPr>
          <w:rFonts w:hint="eastAsia" w:ascii="宋体" w:hAnsi="宋体" w:cs="宋体"/>
          <w:sz w:val="24"/>
          <w:szCs w:val="24"/>
        </w:rPr>
        <w:drawing>
          <wp:anchor distT="0" distB="0" distL="114300" distR="114300" simplePos="0" relativeHeight="251692032" behindDoc="0" locked="0" layoutInCell="1" allowOverlap="1">
            <wp:simplePos x="0" y="0"/>
            <wp:positionH relativeFrom="column">
              <wp:posOffset>566420</wp:posOffset>
            </wp:positionH>
            <wp:positionV relativeFrom="paragraph">
              <wp:posOffset>776605</wp:posOffset>
            </wp:positionV>
            <wp:extent cx="1788795" cy="2214880"/>
            <wp:effectExtent l="0" t="0" r="1905" b="0"/>
            <wp:wrapTopAndBottom/>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extLst>
                        <a:ext uri="{28A0092B-C50C-407E-A947-70E740481C1C}">
                          <a14:useLocalDpi xmlns:a14="http://schemas.microsoft.com/office/drawing/2010/main" val="0"/>
                        </a:ext>
                      </a:extLst>
                    </a:blip>
                    <a:srcRect l="23889" t="20441" r="26661" b="18266"/>
                    <a:stretch>
                      <a:fillRect/>
                    </a:stretch>
                  </pic:blipFill>
                  <pic:spPr>
                    <a:xfrm>
                      <a:off x="0" y="0"/>
                      <a:ext cx="1788795" cy="2214880"/>
                    </a:xfrm>
                    <a:prstGeom prst="rect">
                      <a:avLst/>
                    </a:prstGeom>
                    <a:ln>
                      <a:noFill/>
                    </a:ln>
                  </pic:spPr>
                </pic:pic>
              </a:graphicData>
            </a:graphic>
          </wp:anchor>
        </w:drawing>
      </w:r>
      <w:r>
        <w:rPr>
          <w:rFonts w:hint="eastAsia" w:ascii="宋体" w:hAnsi="宋体" w:cs="宋体"/>
          <w:sz w:val="24"/>
          <w:szCs w:val="24"/>
        </w:rPr>
        <w:t>当老年人单人居住，不需要护理时，宜根据卧室空间大小，合理安排卧室中的家具，床可居中放置，亦可靠墙放置，以留出足够的活动空间。（图5.5.1-2）</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图5.5.1-2</w:t>
      </w:r>
    </w:p>
    <w:p>
      <w:pPr>
        <w:pStyle w:val="104"/>
        <w:numPr>
          <w:ilvl w:val="0"/>
          <w:numId w:val="13"/>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drawing>
          <wp:anchor distT="0" distB="0" distL="114300" distR="114300" simplePos="0" relativeHeight="251694080" behindDoc="0" locked="0" layoutInCell="1" allowOverlap="1">
            <wp:simplePos x="0" y="0"/>
            <wp:positionH relativeFrom="margin">
              <wp:align>center</wp:align>
            </wp:positionH>
            <wp:positionV relativeFrom="paragraph">
              <wp:posOffset>516255</wp:posOffset>
            </wp:positionV>
            <wp:extent cx="1979295" cy="2545080"/>
            <wp:effectExtent l="0" t="0" r="1905" b="7620"/>
            <wp:wrapTopAndBottom/>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3" cstate="print">
                      <a:extLst>
                        <a:ext uri="{28A0092B-C50C-407E-A947-70E740481C1C}">
                          <a14:useLocalDpi xmlns:a14="http://schemas.microsoft.com/office/drawing/2010/main" val="0"/>
                        </a:ext>
                      </a:extLst>
                    </a:blip>
                    <a:srcRect l="26088" t="20401" r="24721" b="16385"/>
                    <a:stretch>
                      <a:fillRect/>
                    </a:stretch>
                  </pic:blipFill>
                  <pic:spPr>
                    <a:xfrm>
                      <a:off x="0" y="0"/>
                      <a:ext cx="1979295" cy="2545080"/>
                    </a:xfrm>
                    <a:prstGeom prst="rect">
                      <a:avLst/>
                    </a:prstGeom>
                    <a:ln>
                      <a:noFill/>
                    </a:ln>
                  </pic:spPr>
                </pic:pic>
              </a:graphicData>
            </a:graphic>
          </wp:anchor>
        </w:drawing>
      </w:r>
      <w:r>
        <w:rPr>
          <w:rFonts w:hint="eastAsia" w:ascii="宋体" w:hAnsi="宋体" w:cs="宋体"/>
          <w:sz w:val="24"/>
          <w:szCs w:val="24"/>
        </w:rPr>
        <w:t>当老年人双人居住，合床睡时，床宜居中放置，两边留空，方便两位老年人从两侧下床。（图5.5.1-3）</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图5.5.1-3</w:t>
      </w:r>
    </w:p>
    <w:p>
      <w:pPr>
        <w:pStyle w:val="104"/>
        <w:autoSpaceDE w:val="0"/>
        <w:autoSpaceDN w:val="0"/>
        <w:adjustRightInd w:val="0"/>
        <w:spacing w:line="400" w:lineRule="exact"/>
        <w:ind w:firstLine="0" w:firstLineChars="0"/>
        <w:jc w:val="center"/>
        <w:rPr>
          <w:rFonts w:ascii="宋体" w:hAnsi="宋体" w:cs="宋体"/>
          <w:szCs w:val="21"/>
        </w:rPr>
      </w:pPr>
    </w:p>
    <w:p>
      <w:pPr>
        <w:pStyle w:val="104"/>
        <w:numPr>
          <w:ilvl w:val="0"/>
          <w:numId w:val="13"/>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drawing>
          <wp:anchor distT="0" distB="0" distL="114300" distR="114300" simplePos="0" relativeHeight="251696128" behindDoc="0" locked="0" layoutInCell="1" allowOverlap="1">
            <wp:simplePos x="0" y="0"/>
            <wp:positionH relativeFrom="column">
              <wp:posOffset>2807970</wp:posOffset>
            </wp:positionH>
            <wp:positionV relativeFrom="paragraph">
              <wp:posOffset>628015</wp:posOffset>
            </wp:positionV>
            <wp:extent cx="1954530" cy="2369185"/>
            <wp:effectExtent l="0" t="0" r="7620" b="0"/>
            <wp:wrapTopAndBottom/>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4" cstate="print">
                      <a:extLst>
                        <a:ext uri="{28A0092B-C50C-407E-A947-70E740481C1C}">
                          <a14:useLocalDpi xmlns:a14="http://schemas.microsoft.com/office/drawing/2010/main" val="0"/>
                        </a:ext>
                      </a:extLst>
                    </a:blip>
                    <a:srcRect l="24385" t="21427" r="25026" b="17290"/>
                    <a:stretch>
                      <a:fillRect/>
                    </a:stretch>
                  </pic:blipFill>
                  <pic:spPr>
                    <a:xfrm>
                      <a:off x="0" y="0"/>
                      <a:ext cx="1954530" cy="2369185"/>
                    </a:xfrm>
                    <a:prstGeom prst="rect">
                      <a:avLst/>
                    </a:prstGeom>
                    <a:ln>
                      <a:noFill/>
                    </a:ln>
                  </pic:spPr>
                </pic:pic>
              </a:graphicData>
            </a:graphic>
          </wp:anchor>
        </w:drawing>
      </w:r>
      <w:r>
        <w:rPr>
          <w:rFonts w:hint="eastAsia" w:ascii="宋体" w:hAnsi="宋体" w:cs="宋体"/>
          <w:sz w:val="24"/>
          <w:szCs w:val="24"/>
        </w:rPr>
        <w:drawing>
          <wp:anchor distT="0" distB="0" distL="114300" distR="114300" simplePos="0" relativeHeight="251695104" behindDoc="0" locked="0" layoutInCell="1" allowOverlap="1">
            <wp:simplePos x="0" y="0"/>
            <wp:positionH relativeFrom="column">
              <wp:posOffset>454660</wp:posOffset>
            </wp:positionH>
            <wp:positionV relativeFrom="paragraph">
              <wp:posOffset>565150</wp:posOffset>
            </wp:positionV>
            <wp:extent cx="1903730" cy="2464435"/>
            <wp:effectExtent l="0" t="0" r="1270" b="0"/>
            <wp:wrapTopAndBottom/>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5" cstate="print">
                      <a:extLst>
                        <a:ext uri="{28A0092B-C50C-407E-A947-70E740481C1C}">
                          <a14:useLocalDpi xmlns:a14="http://schemas.microsoft.com/office/drawing/2010/main" val="0"/>
                        </a:ext>
                      </a:extLst>
                    </a:blip>
                    <a:srcRect l="26009" t="20865" r="25638" b="16541"/>
                    <a:stretch>
                      <a:fillRect/>
                    </a:stretch>
                  </pic:blipFill>
                  <pic:spPr>
                    <a:xfrm>
                      <a:off x="0" y="0"/>
                      <a:ext cx="1903730" cy="2464435"/>
                    </a:xfrm>
                    <a:prstGeom prst="rect">
                      <a:avLst/>
                    </a:prstGeom>
                    <a:ln>
                      <a:noFill/>
                    </a:ln>
                  </pic:spPr>
                </pic:pic>
              </a:graphicData>
            </a:graphic>
          </wp:anchor>
        </w:drawing>
      </w:r>
      <w:r>
        <w:rPr>
          <w:rFonts w:hint="eastAsia" w:ascii="宋体" w:hAnsi="宋体" w:cs="宋体"/>
          <w:sz w:val="24"/>
          <w:szCs w:val="24"/>
        </w:rPr>
        <w:t>当老年人双人居住，分床睡时，根据卧室空间大小，合理安排卧室中的家具，两张单人床可居中并排放，亦可分别靠墙放置。（图5.5.1-4）</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图5.5.1-4</w:t>
      </w:r>
    </w:p>
    <w:p>
      <w:pPr>
        <w:pStyle w:val="104"/>
        <w:autoSpaceDE w:val="0"/>
        <w:autoSpaceDN w:val="0"/>
        <w:adjustRightInd w:val="0"/>
        <w:spacing w:line="400" w:lineRule="exact"/>
        <w:ind w:firstLine="0" w:firstLineChars="0"/>
        <w:jc w:val="center"/>
        <w:rPr>
          <w:rFonts w:ascii="宋体" w:hAnsi="宋体" w:cs="宋体"/>
          <w:szCs w:val="21"/>
        </w:rPr>
      </w:pP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对于使用助行器或轮椅的老年人，床周边的通行宽度不宜小于</w:t>
      </w:r>
      <w:r>
        <w:rPr>
          <w:rFonts w:cs="黑体" w:asciiTheme="minorEastAsia" w:hAnsiTheme="minorEastAsia" w:eastAsiaTheme="minorEastAsia"/>
          <w:kern w:val="44"/>
          <w:sz w:val="24"/>
          <w:szCs w:val="24"/>
        </w:rPr>
        <w:t>9</w:t>
      </w:r>
      <w:r>
        <w:rPr>
          <w:rFonts w:hint="eastAsia" w:cs="黑体" w:asciiTheme="minorEastAsia" w:hAnsiTheme="minorEastAsia" w:eastAsiaTheme="minorEastAsia"/>
          <w:kern w:val="44"/>
          <w:sz w:val="24"/>
          <w:szCs w:val="24"/>
        </w:rPr>
        <w:t>00mm。</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宜在不影响老年人上下床的同时，在床边采取防护措施，以避免老年人意外跌落，如设置床边护栏或使用护理床等。</w:t>
      </w:r>
    </w:p>
    <w:p>
      <w:pPr>
        <w:pStyle w:val="104"/>
        <w:numPr>
          <w:ilvl w:val="0"/>
          <w:numId w:val="14"/>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针对自理老年人，床可靠墙设置，以降低意外跌落风险；</w:t>
      </w:r>
    </w:p>
    <w:p>
      <w:pPr>
        <w:pStyle w:val="104"/>
        <w:numPr>
          <w:ilvl w:val="0"/>
          <w:numId w:val="14"/>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针对需要护理的老年人，可设置离床报警设备，以便于照护人员及时了解老年人的情况。</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老年人从卧室到卫生间的动线上宜设置感应式脚灯，保障老年人夜间起夜的安全性。</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卧室宜配置适老化衣柜，衣柜采用移门，储物空间合理分区，内部设置抽屉、隔板和升降衣架，避免老年人躬身或爬高取放衣物。柜内安装照明灯具，方便老年人查找衣物。衣柜可增设下拉式拉杆挂，可下拉挂取衣服，避免老年人攀高取物时摔倒。</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卧室照明宜根据老年人床头阅读、起夜等不同行为模式下的光环境需求设置局部照明。照明宜采用多控开关保证多点控制，其中一处靠近床头，便于老年人卧姿操作。</w:t>
      </w:r>
    </w:p>
    <w:p>
      <w:pPr>
        <w:keepNext/>
        <w:keepLines/>
        <w:numPr>
          <w:ilvl w:val="1"/>
          <w:numId w:val="5"/>
        </w:numPr>
        <w:spacing w:before="187" w:beforeLines="60" w:after="187" w:afterLines="60" w:line="400" w:lineRule="exact"/>
        <w:jc w:val="center"/>
        <w:outlineLvl w:val="0"/>
        <w:rPr>
          <w:rFonts w:ascii="黑体" w:hAnsi="黑体" w:eastAsia="黑体" w:cs="黑体"/>
          <w:b/>
          <w:bCs/>
          <w:sz w:val="32"/>
          <w:szCs w:val="32"/>
        </w:rPr>
      </w:pPr>
      <w:bookmarkStart w:id="37" w:name="_Toc151217816"/>
      <w:r>
        <w:rPr>
          <w:rFonts w:hint="eastAsia" w:ascii="黑体" w:hAnsi="黑体" w:eastAsia="黑体" w:cs="黑体"/>
          <w:b/>
          <w:bCs/>
          <w:sz w:val="32"/>
          <w:szCs w:val="32"/>
        </w:rPr>
        <w:t>厨房</w:t>
      </w:r>
      <w:bookmarkEnd w:id="37"/>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对厨房进行适老化设计时，在空间布局上应考虑老年人取物、清洗、操作、烹饪、通行和储藏等行为的空间需求。</w:t>
      </w:r>
    </w:p>
    <w:p>
      <w:pPr>
        <w:pStyle w:val="104"/>
        <w:numPr>
          <w:ilvl w:val="0"/>
          <w:numId w:val="15"/>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drawing>
          <wp:anchor distT="0" distB="0" distL="114300" distR="114300" simplePos="0" relativeHeight="251697152" behindDoc="0" locked="0" layoutInCell="1" allowOverlap="1">
            <wp:simplePos x="0" y="0"/>
            <wp:positionH relativeFrom="margin">
              <wp:posOffset>1670685</wp:posOffset>
            </wp:positionH>
            <wp:positionV relativeFrom="paragraph">
              <wp:posOffset>809625</wp:posOffset>
            </wp:positionV>
            <wp:extent cx="1955800" cy="1359535"/>
            <wp:effectExtent l="0" t="0" r="6350" b="0"/>
            <wp:wrapTopAndBottom/>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6" cstate="print">
                      <a:extLst>
                        <a:ext uri="{28A0092B-C50C-407E-A947-70E740481C1C}">
                          <a14:useLocalDpi xmlns:a14="http://schemas.microsoft.com/office/drawing/2010/main" val="0"/>
                        </a:ext>
                      </a:extLst>
                    </a:blip>
                    <a:srcRect l="34012" t="35451" r="22850" b="34544"/>
                    <a:stretch>
                      <a:fillRect/>
                    </a:stretch>
                  </pic:blipFill>
                  <pic:spPr>
                    <a:xfrm>
                      <a:off x="0" y="0"/>
                      <a:ext cx="1955800" cy="1359535"/>
                    </a:xfrm>
                    <a:prstGeom prst="rect">
                      <a:avLst/>
                    </a:prstGeom>
                    <a:ln>
                      <a:noFill/>
                    </a:ln>
                  </pic:spPr>
                </pic:pic>
              </a:graphicData>
            </a:graphic>
          </wp:anchor>
        </w:drawing>
      </w:r>
      <w:r>
        <w:rPr>
          <w:rFonts w:hint="eastAsia" w:ascii="宋体" w:hAnsi="宋体" w:cs="宋体"/>
          <w:sz w:val="24"/>
          <w:szCs w:val="24"/>
        </w:rPr>
        <w:t>单列式厨房宜将水池与炉灶同侧布置；做整体式橱柜，增加储物空间；在不影响通行的情况下在灶台对侧增加活动折叠隔板和休息凳，老年人可以坐着择菜、小憩、摆放临时物品等。（图5.6.1-1）</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图5.6.1-1</w:t>
      </w:r>
    </w:p>
    <w:p>
      <w:pPr>
        <w:pStyle w:val="104"/>
        <w:autoSpaceDE w:val="0"/>
        <w:autoSpaceDN w:val="0"/>
        <w:adjustRightInd w:val="0"/>
        <w:spacing w:line="400" w:lineRule="exact"/>
        <w:ind w:firstLine="0" w:firstLineChars="0"/>
        <w:jc w:val="center"/>
        <w:rPr>
          <w:rFonts w:ascii="宋体" w:hAnsi="宋体" w:cs="宋体"/>
          <w:szCs w:val="21"/>
        </w:rPr>
      </w:pPr>
    </w:p>
    <w:p>
      <w:pPr>
        <w:pStyle w:val="104"/>
        <w:numPr>
          <w:ilvl w:val="0"/>
          <w:numId w:val="15"/>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drawing>
          <wp:anchor distT="0" distB="0" distL="114300" distR="114300" simplePos="0" relativeHeight="251698176" behindDoc="0" locked="0" layoutInCell="1" allowOverlap="1">
            <wp:simplePos x="0" y="0"/>
            <wp:positionH relativeFrom="margin">
              <wp:posOffset>1440815</wp:posOffset>
            </wp:positionH>
            <wp:positionV relativeFrom="paragraph">
              <wp:posOffset>845820</wp:posOffset>
            </wp:positionV>
            <wp:extent cx="2440940" cy="1484630"/>
            <wp:effectExtent l="0" t="0" r="0" b="1270"/>
            <wp:wrapTopAndBottom/>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7" cstate="print">
                      <a:extLst>
                        <a:ext uri="{28A0092B-C50C-407E-A947-70E740481C1C}">
                          <a14:useLocalDpi xmlns:a14="http://schemas.microsoft.com/office/drawing/2010/main" val="0"/>
                        </a:ext>
                      </a:extLst>
                    </a:blip>
                    <a:srcRect l="26248" t="29168" r="20473" b="38416"/>
                    <a:stretch>
                      <a:fillRect/>
                    </a:stretch>
                  </pic:blipFill>
                  <pic:spPr>
                    <a:xfrm>
                      <a:off x="0" y="0"/>
                      <a:ext cx="2440940" cy="1484630"/>
                    </a:xfrm>
                    <a:prstGeom prst="rect">
                      <a:avLst/>
                    </a:prstGeom>
                    <a:ln>
                      <a:noFill/>
                    </a:ln>
                  </pic:spPr>
                </pic:pic>
              </a:graphicData>
            </a:graphic>
          </wp:anchor>
        </w:drawing>
      </w:r>
      <w:r>
        <w:rPr>
          <w:rFonts w:hint="eastAsia" w:ascii="宋体" w:hAnsi="宋体" w:cs="宋体"/>
          <w:sz w:val="24"/>
          <w:szCs w:val="24"/>
        </w:rPr>
        <w:t>L型厨房宜根据老年人生理特点定做整体橱柜，低柜高度设为750mm，方便老年人使用；操作台面为L型连续台面，同时将冰箱放入厨房，便于老年人取放物品。（图5.6.1-2）</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图5.6.1-2</w:t>
      </w:r>
    </w:p>
    <w:p>
      <w:pPr>
        <w:pStyle w:val="104"/>
        <w:numPr>
          <w:ilvl w:val="0"/>
          <w:numId w:val="15"/>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drawing>
          <wp:anchor distT="0" distB="0" distL="114300" distR="114300" simplePos="0" relativeHeight="251699200" behindDoc="0" locked="0" layoutInCell="1" allowOverlap="1">
            <wp:simplePos x="0" y="0"/>
            <wp:positionH relativeFrom="margin">
              <wp:align>center</wp:align>
            </wp:positionH>
            <wp:positionV relativeFrom="paragraph">
              <wp:posOffset>834390</wp:posOffset>
            </wp:positionV>
            <wp:extent cx="5537200" cy="1884045"/>
            <wp:effectExtent l="0" t="0" r="6350" b="1905"/>
            <wp:wrapTopAndBottom/>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8" cstate="print">
                      <a:extLst>
                        <a:ext uri="{28A0092B-C50C-407E-A947-70E740481C1C}">
                          <a14:useLocalDpi xmlns:a14="http://schemas.microsoft.com/office/drawing/2010/main" val="0"/>
                        </a:ext>
                      </a:extLst>
                    </a:blip>
                    <a:srcRect t="30303" b="35654"/>
                    <a:stretch>
                      <a:fillRect/>
                    </a:stretch>
                  </pic:blipFill>
                  <pic:spPr>
                    <a:xfrm>
                      <a:off x="0" y="0"/>
                      <a:ext cx="5537200" cy="1884045"/>
                    </a:xfrm>
                    <a:prstGeom prst="rect">
                      <a:avLst/>
                    </a:prstGeom>
                    <a:ln>
                      <a:noFill/>
                    </a:ln>
                  </pic:spPr>
                </pic:pic>
              </a:graphicData>
            </a:graphic>
          </wp:anchor>
        </w:drawing>
      </w:r>
      <w:r>
        <w:rPr>
          <w:rFonts w:hint="eastAsia" w:ascii="宋体" w:hAnsi="宋体" w:cs="宋体"/>
          <w:sz w:val="24"/>
          <w:szCs w:val="24"/>
        </w:rPr>
        <w:t>U型厨房宜将冰箱放入厨房，缩短取放物品流线；操作台面为U型，增加操作空间，同时增加吊柜，增加储物空间；设置推拉窗，方便直接向餐厅传菜。（图5.6.1-3）</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图5.6.1-3</w:t>
      </w:r>
    </w:p>
    <w:p>
      <w:pPr>
        <w:pStyle w:val="104"/>
        <w:autoSpaceDE w:val="0"/>
        <w:autoSpaceDN w:val="0"/>
        <w:adjustRightInd w:val="0"/>
        <w:spacing w:line="400" w:lineRule="exact"/>
        <w:ind w:firstLine="0" w:firstLineChars="0"/>
        <w:jc w:val="center"/>
        <w:rPr>
          <w:rFonts w:ascii="宋体" w:hAnsi="宋体" w:cs="宋体"/>
          <w:szCs w:val="21"/>
        </w:rPr>
      </w:pP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drawing>
          <wp:anchor distT="0" distB="0" distL="114300" distR="114300" simplePos="0" relativeHeight="251701248" behindDoc="0" locked="0" layoutInCell="1" allowOverlap="1">
            <wp:simplePos x="0" y="0"/>
            <wp:positionH relativeFrom="column">
              <wp:posOffset>2752090</wp:posOffset>
            </wp:positionH>
            <wp:positionV relativeFrom="paragraph">
              <wp:posOffset>817880</wp:posOffset>
            </wp:positionV>
            <wp:extent cx="2249805" cy="2564765"/>
            <wp:effectExtent l="0" t="0" r="0" b="6985"/>
            <wp:wrapTopAndBottom/>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9" cstate="print">
                      <a:extLst>
                        <a:ext uri="{28A0092B-C50C-407E-A947-70E740481C1C}">
                          <a14:useLocalDpi xmlns:a14="http://schemas.microsoft.com/office/drawing/2010/main" val="0"/>
                        </a:ext>
                      </a:extLst>
                    </a:blip>
                    <a:srcRect l="30953" t="34965" r="34412" b="25564"/>
                    <a:stretch>
                      <a:fillRect/>
                    </a:stretch>
                  </pic:blipFill>
                  <pic:spPr>
                    <a:xfrm>
                      <a:off x="0" y="0"/>
                      <a:ext cx="2249805" cy="2564765"/>
                    </a:xfrm>
                    <a:prstGeom prst="rect">
                      <a:avLst/>
                    </a:prstGeom>
                    <a:ln>
                      <a:noFill/>
                    </a:ln>
                  </pic:spPr>
                </pic:pic>
              </a:graphicData>
            </a:graphic>
          </wp:anchor>
        </w:drawing>
      </w:r>
      <w:r>
        <w:rPr>
          <w:rFonts w:hint="eastAsia" w:cs="黑体" w:asciiTheme="minorEastAsia" w:hAnsiTheme="minorEastAsia" w:eastAsiaTheme="minorEastAsia"/>
          <w:kern w:val="44"/>
          <w:sz w:val="24"/>
          <w:szCs w:val="24"/>
        </w:rPr>
        <w:drawing>
          <wp:anchor distT="0" distB="0" distL="114300" distR="114300" simplePos="0" relativeHeight="251700224" behindDoc="0" locked="0" layoutInCell="1" allowOverlap="1">
            <wp:simplePos x="0" y="0"/>
            <wp:positionH relativeFrom="column">
              <wp:posOffset>367030</wp:posOffset>
            </wp:positionH>
            <wp:positionV relativeFrom="paragraph">
              <wp:posOffset>969010</wp:posOffset>
            </wp:positionV>
            <wp:extent cx="1924050" cy="2320290"/>
            <wp:effectExtent l="0" t="0" r="0" b="3810"/>
            <wp:wrapTopAndBottom/>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0" cstate="print">
                      <a:extLst>
                        <a:ext uri="{28A0092B-C50C-407E-A947-70E740481C1C}">
                          <a14:useLocalDpi xmlns:a14="http://schemas.microsoft.com/office/drawing/2010/main" val="0"/>
                        </a:ext>
                      </a:extLst>
                    </a:blip>
                    <a:srcRect l="33562" t="37477" r="36902" b="26880"/>
                    <a:stretch>
                      <a:fillRect/>
                    </a:stretch>
                  </pic:blipFill>
                  <pic:spPr>
                    <a:xfrm>
                      <a:off x="0" y="0"/>
                      <a:ext cx="1924050" cy="2320290"/>
                    </a:xfrm>
                    <a:prstGeom prst="rect">
                      <a:avLst/>
                    </a:prstGeom>
                    <a:ln>
                      <a:noFill/>
                    </a:ln>
                  </pic:spPr>
                </pic:pic>
              </a:graphicData>
            </a:graphic>
          </wp:anchor>
        </w:drawing>
      </w:r>
      <w:r>
        <w:rPr>
          <w:rFonts w:hint="eastAsia" w:cs="黑体" w:asciiTheme="minorEastAsia" w:hAnsiTheme="minorEastAsia" w:eastAsiaTheme="minorEastAsia"/>
          <w:kern w:val="44"/>
          <w:sz w:val="24"/>
          <w:szCs w:val="24"/>
        </w:rPr>
        <w:t>厨房两侧操作台之间的通行及活动宽度不宜小于900mm，对于使用轮椅的老年人，宜满足轮椅转向的需求，可借用入口空间与操作台下方空间完成轮椅转向。（图5.6.2-1、图5.6.2-2）</w:t>
      </w:r>
    </w:p>
    <w:p>
      <w:pPr>
        <w:autoSpaceDE w:val="0"/>
        <w:autoSpaceDN w:val="0"/>
        <w:adjustRightInd w:val="0"/>
        <w:spacing w:line="400" w:lineRule="exact"/>
        <w:jc w:val="center"/>
        <w:rPr>
          <w:rFonts w:ascii="宋体" w:hAnsi="宋体" w:cs="宋体"/>
          <w:szCs w:val="21"/>
        </w:rPr>
      </w:pPr>
      <w:r>
        <w:rPr>
          <w:rFonts w:hint="eastAsia" w:ascii="宋体" w:hAnsi="宋体" w:cs="宋体"/>
          <w:szCs w:val="21"/>
        </w:rPr>
        <w:t>图5.6.2-1 厨房的通行净宽示意        图5.6.2-2 轮椅借用操作台下方空间</w:t>
      </w:r>
    </w:p>
    <w:p>
      <w:pPr>
        <w:autoSpaceDE w:val="0"/>
        <w:autoSpaceDN w:val="0"/>
        <w:adjustRightInd w:val="0"/>
        <w:spacing w:line="400" w:lineRule="exact"/>
        <w:rPr>
          <w:rFonts w:ascii="宋体" w:hAnsi="宋体" w:cs="宋体"/>
          <w:sz w:val="24"/>
          <w:szCs w:val="24"/>
        </w:rPr>
      </w:pP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厨房门的通行宽度不应小于</w:t>
      </w:r>
      <w:r>
        <w:rPr>
          <w:rFonts w:cs="黑体" w:asciiTheme="minorEastAsia" w:hAnsiTheme="minorEastAsia" w:eastAsiaTheme="minorEastAsia"/>
          <w:kern w:val="44"/>
          <w:sz w:val="24"/>
          <w:szCs w:val="24"/>
        </w:rPr>
        <w:t>9</w:t>
      </w:r>
      <w:r>
        <w:rPr>
          <w:rFonts w:hint="eastAsia" w:cs="黑体" w:asciiTheme="minorEastAsia" w:hAnsiTheme="minorEastAsia" w:eastAsiaTheme="minorEastAsia"/>
          <w:kern w:val="44"/>
          <w:sz w:val="24"/>
          <w:szCs w:val="24"/>
        </w:rPr>
        <w:t>00mm，宜适当扩大通行宽度，满足对于使用轮椅的老人进出。</w:t>
      </w:r>
    </w:p>
    <w:p>
      <w:pPr>
        <w:numPr>
          <w:ilvl w:val="2"/>
          <w:numId w:val="5"/>
        </w:numPr>
        <w:autoSpaceDE w:val="0"/>
        <w:autoSpaceDN w:val="0"/>
        <w:spacing w:line="400" w:lineRule="exact"/>
        <w:rPr>
          <w:rFonts w:ascii="宋体" w:hAnsi="宋体" w:cs="宋体"/>
          <w:sz w:val="24"/>
          <w:szCs w:val="24"/>
        </w:rPr>
      </w:pPr>
      <w:r>
        <w:rPr>
          <w:rFonts w:hint="eastAsia" w:cs="黑体" w:asciiTheme="minorEastAsia" w:hAnsiTheme="minorEastAsia" w:eastAsiaTheme="minorEastAsia"/>
          <w:kern w:val="44"/>
          <w:sz w:val="24"/>
          <w:szCs w:val="24"/>
        </w:rPr>
        <w:t>厨房操作台宜采用方便使用的高度，宜根据老年人个人身高来决定台面高度。一般来说，操作台的高度应为7</w:t>
      </w:r>
      <w:r>
        <w:rPr>
          <w:rFonts w:cs="黑体" w:asciiTheme="minorEastAsia" w:hAnsiTheme="minorEastAsia" w:eastAsiaTheme="minorEastAsia"/>
          <w:kern w:val="44"/>
          <w:sz w:val="24"/>
          <w:szCs w:val="24"/>
        </w:rPr>
        <w:t>00</w:t>
      </w:r>
      <w:r>
        <w:rPr>
          <w:rFonts w:hint="eastAsia" w:cs="黑体" w:asciiTheme="minorEastAsia" w:hAnsiTheme="minorEastAsia" w:eastAsiaTheme="minorEastAsia"/>
          <w:kern w:val="44"/>
          <w:sz w:val="24"/>
          <w:szCs w:val="24"/>
        </w:rPr>
        <w:t>mm～850mm。对于使用轮椅的老年人，水池和炉灶下部宜预留合适的空档以便轮椅能进入，其下部应留出不小于宽750mm、高650mm、距地面高度250mm范围内进深不小于450mm、其他部分进深不小于250mm的容膝容脚空间；水槽应与工作台底部的操作空间隔开。厨房操作台面设置挡水</w:t>
      </w:r>
      <w:r>
        <w:rPr>
          <w:rFonts w:hint="eastAsia" w:ascii="宋体" w:hAnsi="宋体" w:cs="宋体"/>
          <w:sz w:val="24"/>
          <w:szCs w:val="24"/>
        </w:rPr>
        <w:drawing>
          <wp:anchor distT="0" distB="0" distL="114300" distR="114300" simplePos="0" relativeHeight="251703296" behindDoc="0" locked="0" layoutInCell="1" allowOverlap="1">
            <wp:simplePos x="0" y="0"/>
            <wp:positionH relativeFrom="margin">
              <wp:posOffset>1265555</wp:posOffset>
            </wp:positionH>
            <wp:positionV relativeFrom="paragraph">
              <wp:posOffset>547370</wp:posOffset>
            </wp:positionV>
            <wp:extent cx="2592070" cy="2233295"/>
            <wp:effectExtent l="0" t="0" r="0" b="0"/>
            <wp:wrapTopAndBottom/>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1" cstate="print">
                      <a:extLst>
                        <a:ext uri="{28A0092B-C50C-407E-A947-70E740481C1C}">
                          <a14:useLocalDpi xmlns:a14="http://schemas.microsoft.com/office/drawing/2010/main" val="0"/>
                        </a:ext>
                      </a:extLst>
                    </a:blip>
                    <a:srcRect l="10004" t="29483" r="23989" b="13590"/>
                    <a:stretch>
                      <a:fillRect/>
                    </a:stretch>
                  </pic:blipFill>
                  <pic:spPr>
                    <a:xfrm>
                      <a:off x="0" y="0"/>
                      <a:ext cx="2592070" cy="2233295"/>
                    </a:xfrm>
                    <a:prstGeom prst="rect">
                      <a:avLst/>
                    </a:prstGeom>
                    <a:ln>
                      <a:noFill/>
                    </a:ln>
                  </pic:spPr>
                </pic:pic>
              </a:graphicData>
            </a:graphic>
          </wp:anchor>
        </w:drawing>
      </w:r>
      <w:r>
        <w:rPr>
          <w:rFonts w:hint="eastAsia" w:cs="黑体" w:asciiTheme="minorEastAsia" w:hAnsiTheme="minorEastAsia" w:eastAsiaTheme="minorEastAsia"/>
          <w:kern w:val="44"/>
          <w:sz w:val="24"/>
          <w:szCs w:val="24"/>
        </w:rPr>
        <w:t>条，阻挡水流至地面，降低老年人</w:t>
      </w:r>
      <w:r>
        <w:rPr>
          <w:rFonts w:hint="eastAsia" w:ascii="宋体" w:hAnsi="宋体" w:cs="宋体"/>
          <w:sz w:val="24"/>
          <w:szCs w:val="24"/>
        </w:rPr>
        <w:t>跌倒风险。（图5.6.4）</w:t>
      </w:r>
    </w:p>
    <w:p>
      <w:pPr>
        <w:autoSpaceDE w:val="0"/>
        <w:autoSpaceDN w:val="0"/>
        <w:adjustRightInd w:val="0"/>
        <w:spacing w:line="400" w:lineRule="exact"/>
        <w:jc w:val="center"/>
        <w:rPr>
          <w:rFonts w:ascii="宋体" w:hAnsi="宋体" w:cs="宋体"/>
          <w:szCs w:val="21"/>
        </w:rPr>
      </w:pPr>
      <w:r>
        <w:rPr>
          <w:rFonts w:hint="eastAsia" w:ascii="宋体" w:hAnsi="宋体" w:cs="宋体"/>
          <w:szCs w:val="21"/>
        </w:rPr>
        <w:t>图5.6.4 操作台下部留空尺寸示意</w:t>
      </w:r>
    </w:p>
    <w:p>
      <w:pPr>
        <w:autoSpaceDE w:val="0"/>
        <w:autoSpaceDN w:val="0"/>
        <w:adjustRightInd w:val="0"/>
        <w:spacing w:line="400" w:lineRule="exact"/>
        <w:jc w:val="center"/>
        <w:rPr>
          <w:rFonts w:ascii="宋体" w:hAnsi="宋体" w:cs="宋体"/>
          <w:szCs w:val="21"/>
        </w:rPr>
      </w:pP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drawing>
          <wp:anchor distT="0" distB="0" distL="114300" distR="114300" simplePos="0" relativeHeight="251702272" behindDoc="0" locked="0" layoutInCell="1" allowOverlap="1">
            <wp:simplePos x="0" y="0"/>
            <wp:positionH relativeFrom="margin">
              <wp:posOffset>1328420</wp:posOffset>
            </wp:positionH>
            <wp:positionV relativeFrom="paragraph">
              <wp:posOffset>788670</wp:posOffset>
            </wp:positionV>
            <wp:extent cx="2353310" cy="2738755"/>
            <wp:effectExtent l="0" t="0" r="8890" b="4445"/>
            <wp:wrapTopAndBottom/>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2" cstate="print">
                      <a:extLst>
                        <a:ext uri="{28A0092B-C50C-407E-A947-70E740481C1C}">
                          <a14:useLocalDpi xmlns:a14="http://schemas.microsoft.com/office/drawing/2010/main" val="0"/>
                        </a:ext>
                      </a:extLst>
                    </a:blip>
                    <a:srcRect l="12158" t="14437" r="27069" b="14825"/>
                    <a:stretch>
                      <a:fillRect/>
                    </a:stretch>
                  </pic:blipFill>
                  <pic:spPr>
                    <a:xfrm>
                      <a:off x="0" y="0"/>
                      <a:ext cx="2353310" cy="2738755"/>
                    </a:xfrm>
                    <a:prstGeom prst="rect">
                      <a:avLst/>
                    </a:prstGeom>
                    <a:ln>
                      <a:noFill/>
                    </a:ln>
                  </pic:spPr>
                </pic:pic>
              </a:graphicData>
            </a:graphic>
          </wp:anchor>
        </w:drawing>
      </w:r>
      <w:r>
        <w:rPr>
          <w:rFonts w:hint="eastAsia" w:cs="黑体" w:asciiTheme="minorEastAsia" w:hAnsiTheme="minorEastAsia" w:eastAsiaTheme="minorEastAsia"/>
          <w:kern w:val="44"/>
          <w:sz w:val="24"/>
          <w:szCs w:val="24"/>
        </w:rPr>
        <w:t>厨房吊柜宜设置中柜，方便老年人取放常用物品，宜根据老年人个人身高决定中柜高度。一般来说，中柜距地高度宜为1200mm～1600mm，中柜深度宜缩进，防止老年人碰头，宜为200mm～250mm深。（图5.6.5）</w:t>
      </w:r>
    </w:p>
    <w:p>
      <w:pPr>
        <w:autoSpaceDE w:val="0"/>
        <w:autoSpaceDN w:val="0"/>
        <w:adjustRightInd w:val="0"/>
        <w:spacing w:line="400" w:lineRule="exact"/>
        <w:jc w:val="center"/>
        <w:rPr>
          <w:rFonts w:ascii="宋体" w:hAnsi="宋体" w:cs="宋体"/>
          <w:szCs w:val="21"/>
        </w:rPr>
      </w:pPr>
      <w:r>
        <w:rPr>
          <w:rFonts w:hint="eastAsia" w:ascii="宋体" w:hAnsi="宋体" w:cs="宋体"/>
          <w:szCs w:val="21"/>
        </w:rPr>
        <w:t>图5.6.5 中柜高度与深度示意</w:t>
      </w:r>
    </w:p>
    <w:p>
      <w:pPr>
        <w:autoSpaceDE w:val="0"/>
        <w:autoSpaceDN w:val="0"/>
        <w:adjustRightInd w:val="0"/>
        <w:spacing w:line="400" w:lineRule="exact"/>
        <w:jc w:val="center"/>
        <w:rPr>
          <w:rFonts w:ascii="宋体" w:hAnsi="宋体" w:cs="宋体"/>
          <w:szCs w:val="21"/>
        </w:rPr>
      </w:pP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厨房吊柜可采用带电动升降置物架的吊柜、下拉式储物篮等，安装在上橱柜中，便于老年人取放常用物品，且采用开放式或透明柜格，物品一目了然，避免老年人遗忘。</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厨房水龙头宜采用手柄式等操作方便的水龙头，同时能安全的调节水温。</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厨房宜采用大面板的开关或带照明指示的开关。</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老年人使用的灶具宜采用点火、火力调节方便的产品，炉灶宜有自动断火、防干烧等功能。当老年人独居时，宜采用无明火的电炊灶具。电磁炉对心脏起搏器运行有干扰，选型时宜优先选择电陶炉。电炊灶具功率较大，电气设计需预留足够的配电用量。</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厨房照明宜确保有足够的亮度以适应老年人视力下降的特点，厨房整体亮度宜为150Lx，灶台和水池上方宜设置局部照明，照明亮度宜为700Lx，吊柜下方宜设置自动感应灯光照明。</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老年人使用的厨房宜安装燃气、烟雾、积水等报警设备，发生意外能第一时间发出警报，并将报警信号接至户外或有人24小时值班的管理室，阻止意外事故加剧，保障老年人生命安全。</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厨房墙面应采用防火、防水、耐腐蚀、易清洁的墙面材料。</w:t>
      </w:r>
    </w:p>
    <w:p>
      <w:pPr>
        <w:numPr>
          <w:ilvl w:val="2"/>
          <w:numId w:val="5"/>
        </w:numPr>
        <w:autoSpaceDE w:val="0"/>
        <w:autoSpaceDN w:val="0"/>
        <w:spacing w:line="400" w:lineRule="exact"/>
        <w:rPr>
          <w:rFonts w:ascii="宋体" w:hAnsi="宋体" w:cs="宋体"/>
          <w:sz w:val="24"/>
          <w:szCs w:val="24"/>
        </w:rPr>
      </w:pPr>
      <w:r>
        <w:rPr>
          <w:rFonts w:hint="eastAsia" w:cs="黑体" w:asciiTheme="minorEastAsia" w:hAnsiTheme="minorEastAsia" w:eastAsiaTheme="minorEastAsia"/>
          <w:kern w:val="44"/>
          <w:sz w:val="24"/>
          <w:szCs w:val="24"/>
        </w:rPr>
        <w:t>厨房应有良好的自然通风条件。抽油烟设备开关宜方便控制。</w:t>
      </w:r>
    </w:p>
    <w:p>
      <w:pPr>
        <w:keepNext/>
        <w:keepLines/>
        <w:numPr>
          <w:ilvl w:val="1"/>
          <w:numId w:val="5"/>
        </w:numPr>
        <w:spacing w:before="187" w:beforeLines="60" w:after="187" w:afterLines="60" w:line="400" w:lineRule="exact"/>
        <w:jc w:val="center"/>
        <w:outlineLvl w:val="0"/>
        <w:rPr>
          <w:rFonts w:ascii="黑体" w:hAnsi="黑体" w:eastAsia="黑体" w:cs="黑体"/>
          <w:b/>
          <w:bCs/>
          <w:sz w:val="32"/>
          <w:szCs w:val="32"/>
        </w:rPr>
      </w:pPr>
      <w:bookmarkStart w:id="38" w:name="_Toc151217817"/>
      <w:r>
        <w:rPr>
          <w:rFonts w:hint="eastAsia" w:ascii="黑体" w:hAnsi="黑体" w:eastAsia="黑体" w:cs="黑体"/>
          <w:b/>
          <w:bCs/>
          <w:sz w:val="32"/>
          <w:szCs w:val="32"/>
        </w:rPr>
        <w:t>卫生间</w:t>
      </w:r>
      <w:bookmarkEnd w:id="38"/>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对卫生间进行适老化设计时，应考虑老年人如厕、盥洗、沐浴、护理、通行等行为的空间需求。</w:t>
      </w:r>
    </w:p>
    <w:p>
      <w:pPr>
        <w:pStyle w:val="104"/>
        <w:numPr>
          <w:ilvl w:val="0"/>
          <w:numId w:val="16"/>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卫生间宜保持干湿分离。</w:t>
      </w:r>
    </w:p>
    <w:p>
      <w:pPr>
        <w:pStyle w:val="104"/>
        <w:numPr>
          <w:ilvl w:val="0"/>
          <w:numId w:val="16"/>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卫生间宜有自然采光通风，若无法直接开窗，宜加强照明和机械通风</w:t>
      </w:r>
      <w:r>
        <w:rPr>
          <w:rFonts w:hint="eastAsia" w:ascii="宋体" w:hAnsi="宋体" w:cs="宋体"/>
          <w:kern w:val="0"/>
          <w:sz w:val="24"/>
          <w:szCs w:val="24"/>
        </w:rPr>
        <w:t>，并满足相关规范要求</w:t>
      </w:r>
      <w:r>
        <w:rPr>
          <w:rFonts w:hint="eastAsia" w:ascii="宋体" w:hAnsi="宋体" w:cs="宋体"/>
          <w:sz w:val="24"/>
          <w:szCs w:val="24"/>
        </w:rPr>
        <w:t>。</w:t>
      </w:r>
    </w:p>
    <w:p>
      <w:pPr>
        <w:pStyle w:val="104"/>
        <w:numPr>
          <w:ilvl w:val="0"/>
          <w:numId w:val="16"/>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drawing>
          <wp:anchor distT="0" distB="0" distL="114300" distR="114300" simplePos="0" relativeHeight="251704320" behindDoc="0" locked="0" layoutInCell="1" allowOverlap="1">
            <wp:simplePos x="0" y="0"/>
            <wp:positionH relativeFrom="margin">
              <wp:posOffset>1552575</wp:posOffset>
            </wp:positionH>
            <wp:positionV relativeFrom="paragraph">
              <wp:posOffset>527685</wp:posOffset>
            </wp:positionV>
            <wp:extent cx="2355850" cy="2428875"/>
            <wp:effectExtent l="0" t="0" r="6350" b="9525"/>
            <wp:wrapTopAndBottom/>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3" cstate="print">
                      <a:extLst>
                        <a:ext uri="{28A0092B-C50C-407E-A947-70E740481C1C}">
                          <a14:useLocalDpi xmlns:a14="http://schemas.microsoft.com/office/drawing/2010/main" val="0"/>
                        </a:ext>
                      </a:extLst>
                    </a:blip>
                    <a:srcRect l="35013" t="34016" r="32003" b="31986"/>
                    <a:stretch>
                      <a:fillRect/>
                    </a:stretch>
                  </pic:blipFill>
                  <pic:spPr>
                    <a:xfrm>
                      <a:off x="0" y="0"/>
                      <a:ext cx="2355850" cy="2428875"/>
                    </a:xfrm>
                    <a:prstGeom prst="rect">
                      <a:avLst/>
                    </a:prstGeom>
                    <a:ln>
                      <a:noFill/>
                    </a:ln>
                  </pic:spPr>
                </pic:pic>
              </a:graphicData>
            </a:graphic>
          </wp:anchor>
        </w:drawing>
      </w:r>
      <w:r>
        <w:rPr>
          <w:rFonts w:hint="eastAsia" w:ascii="宋体" w:hAnsi="宋体" w:cs="宋体"/>
          <w:sz w:val="24"/>
          <w:szCs w:val="24"/>
        </w:rPr>
        <w:t>当卫生间内仅设置坐便器时，可设置小尺度洗面池，以便老年人如厕后使用。（图5.7.1-1）</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图5.7.1-1</w:t>
      </w:r>
    </w:p>
    <w:p>
      <w:pPr>
        <w:pStyle w:val="104"/>
        <w:autoSpaceDE w:val="0"/>
        <w:autoSpaceDN w:val="0"/>
        <w:adjustRightInd w:val="0"/>
        <w:spacing w:line="400" w:lineRule="exact"/>
        <w:ind w:firstLine="0" w:firstLineChars="0"/>
        <w:jc w:val="center"/>
        <w:rPr>
          <w:rFonts w:ascii="宋体" w:hAnsi="宋体" w:cs="宋体"/>
          <w:szCs w:val="21"/>
        </w:rPr>
      </w:pPr>
    </w:p>
    <w:p>
      <w:pPr>
        <w:pStyle w:val="104"/>
        <w:numPr>
          <w:ilvl w:val="0"/>
          <w:numId w:val="16"/>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当卫生间内设置有洗面池、坐便器时，可设置小尺度洗面池，以节省空间，并增设淋浴与折叠式浴凳。增设淋浴时，应合理组织地面排水，保证水流不会外溢。</w:t>
      </w:r>
    </w:p>
    <w:p>
      <w:pPr>
        <w:pStyle w:val="104"/>
        <w:numPr>
          <w:ilvl w:val="0"/>
          <w:numId w:val="16"/>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drawing>
          <wp:anchor distT="0" distB="0" distL="114300" distR="114300" simplePos="0" relativeHeight="251706368" behindDoc="0" locked="0" layoutInCell="1" allowOverlap="1">
            <wp:simplePos x="0" y="0"/>
            <wp:positionH relativeFrom="margin">
              <wp:posOffset>1914525</wp:posOffset>
            </wp:positionH>
            <wp:positionV relativeFrom="paragraph">
              <wp:posOffset>603250</wp:posOffset>
            </wp:positionV>
            <wp:extent cx="1724025" cy="1743075"/>
            <wp:effectExtent l="0" t="0" r="9525" b="9525"/>
            <wp:wrapTopAndBottom/>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4" cstate="print">
                      <a:extLst>
                        <a:ext uri="{28A0092B-C50C-407E-A947-70E740481C1C}">
                          <a14:useLocalDpi xmlns:a14="http://schemas.microsoft.com/office/drawing/2010/main" val="0"/>
                        </a:ext>
                      </a:extLst>
                    </a:blip>
                    <a:srcRect l="30002" t="38053" r="37866" b="29446"/>
                    <a:stretch>
                      <a:fillRect/>
                    </a:stretch>
                  </pic:blipFill>
                  <pic:spPr>
                    <a:xfrm>
                      <a:off x="0" y="0"/>
                      <a:ext cx="1724025" cy="1743075"/>
                    </a:xfrm>
                    <a:prstGeom prst="rect">
                      <a:avLst/>
                    </a:prstGeom>
                    <a:ln>
                      <a:noFill/>
                    </a:ln>
                  </pic:spPr>
                </pic:pic>
              </a:graphicData>
            </a:graphic>
          </wp:anchor>
        </w:drawing>
      </w:r>
      <w:r>
        <w:rPr>
          <w:rFonts w:hint="eastAsia" w:ascii="宋体" w:hAnsi="宋体" w:cs="宋体"/>
          <w:sz w:val="24"/>
          <w:szCs w:val="24"/>
        </w:rPr>
        <w:t>当卫生间内洗面池、坐便器与淋浴集中设置时，宜预留通行净宽不小于900mm的L型空间，以保证轮椅90°转向。（图5.7.1-</w:t>
      </w:r>
      <w:r>
        <w:rPr>
          <w:rFonts w:ascii="宋体" w:hAnsi="宋体" w:cs="宋体"/>
          <w:sz w:val="24"/>
          <w:szCs w:val="24"/>
        </w:rPr>
        <w:t>2</w:t>
      </w:r>
      <w:r>
        <w:rPr>
          <w:rFonts w:hint="eastAsia" w:ascii="宋体" w:hAnsi="宋体" w:cs="宋体"/>
          <w:sz w:val="24"/>
          <w:szCs w:val="24"/>
        </w:rPr>
        <w:t>）</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图5.7.1-</w:t>
      </w:r>
      <w:r>
        <w:rPr>
          <w:rFonts w:ascii="宋体" w:hAnsi="宋体" w:cs="宋体"/>
          <w:szCs w:val="21"/>
        </w:rPr>
        <w:t>2</w:t>
      </w:r>
    </w:p>
    <w:p>
      <w:pPr>
        <w:pStyle w:val="104"/>
        <w:autoSpaceDE w:val="0"/>
        <w:autoSpaceDN w:val="0"/>
        <w:adjustRightInd w:val="0"/>
        <w:spacing w:line="400" w:lineRule="exact"/>
        <w:ind w:firstLine="0" w:firstLineChars="0"/>
        <w:jc w:val="center"/>
        <w:rPr>
          <w:rFonts w:ascii="宋体" w:hAnsi="宋体" w:cs="宋体"/>
          <w:szCs w:val="21"/>
        </w:rPr>
      </w:pPr>
    </w:p>
    <w:p>
      <w:pPr>
        <w:pStyle w:val="104"/>
        <w:numPr>
          <w:ilvl w:val="0"/>
          <w:numId w:val="16"/>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drawing>
          <wp:anchor distT="0" distB="0" distL="114300" distR="114300" simplePos="0" relativeHeight="251707392" behindDoc="0" locked="0" layoutInCell="1" allowOverlap="1">
            <wp:simplePos x="0" y="0"/>
            <wp:positionH relativeFrom="margin">
              <wp:posOffset>1914525</wp:posOffset>
            </wp:positionH>
            <wp:positionV relativeFrom="paragraph">
              <wp:posOffset>635000</wp:posOffset>
            </wp:positionV>
            <wp:extent cx="1731645" cy="2066925"/>
            <wp:effectExtent l="0" t="0" r="1905" b="9525"/>
            <wp:wrapTopAndBottom/>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5" cstate="print">
                      <a:extLst>
                        <a:ext uri="{28A0092B-C50C-407E-A947-70E740481C1C}">
                          <a14:useLocalDpi xmlns:a14="http://schemas.microsoft.com/office/drawing/2010/main" val="0"/>
                        </a:ext>
                      </a:extLst>
                    </a:blip>
                    <a:srcRect l="33763" t="30126" r="35062" b="32659"/>
                    <a:stretch>
                      <a:fillRect/>
                    </a:stretch>
                  </pic:blipFill>
                  <pic:spPr>
                    <a:xfrm>
                      <a:off x="0" y="0"/>
                      <a:ext cx="1731645" cy="2066925"/>
                    </a:xfrm>
                    <a:prstGeom prst="rect">
                      <a:avLst/>
                    </a:prstGeom>
                    <a:ln>
                      <a:noFill/>
                    </a:ln>
                  </pic:spPr>
                </pic:pic>
              </a:graphicData>
            </a:graphic>
          </wp:anchor>
        </w:drawing>
      </w:r>
      <w:r>
        <w:rPr>
          <w:rFonts w:hint="eastAsia" w:ascii="宋体" w:hAnsi="宋体" w:cs="宋体"/>
          <w:sz w:val="24"/>
          <w:szCs w:val="24"/>
        </w:rPr>
        <w:t>当卫生间内洗面池、坐便器与淋浴并排设置时，可借用门口空间进行轮椅转向，卫生间门净宽不小于1000mm。（图5.7.1-</w:t>
      </w:r>
      <w:r>
        <w:rPr>
          <w:rFonts w:ascii="宋体" w:hAnsi="宋体" w:cs="宋体"/>
          <w:sz w:val="24"/>
          <w:szCs w:val="24"/>
        </w:rPr>
        <w:t>3</w:t>
      </w:r>
      <w:r>
        <w:rPr>
          <w:rFonts w:hint="eastAsia" w:ascii="宋体" w:hAnsi="宋体" w:cs="宋体"/>
          <w:sz w:val="24"/>
          <w:szCs w:val="24"/>
        </w:rPr>
        <w:t>）</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图5.7.1-</w:t>
      </w:r>
      <w:r>
        <w:rPr>
          <w:rFonts w:ascii="宋体" w:hAnsi="宋体" w:cs="宋体"/>
          <w:szCs w:val="21"/>
        </w:rPr>
        <w:t>3</w:t>
      </w:r>
    </w:p>
    <w:p>
      <w:pPr>
        <w:pStyle w:val="104"/>
        <w:autoSpaceDE w:val="0"/>
        <w:autoSpaceDN w:val="0"/>
        <w:adjustRightInd w:val="0"/>
        <w:spacing w:line="400" w:lineRule="exact"/>
        <w:ind w:firstLine="0" w:firstLineChars="0"/>
        <w:jc w:val="center"/>
        <w:rPr>
          <w:rFonts w:ascii="宋体" w:hAnsi="宋体" w:cs="宋体"/>
          <w:szCs w:val="21"/>
        </w:rPr>
      </w:pPr>
    </w:p>
    <w:p>
      <w:pPr>
        <w:pStyle w:val="104"/>
        <w:numPr>
          <w:ilvl w:val="0"/>
          <w:numId w:val="16"/>
        </w:numPr>
        <w:autoSpaceDE w:val="0"/>
        <w:autoSpaceDN w:val="0"/>
        <w:adjustRightInd w:val="0"/>
        <w:spacing w:line="400" w:lineRule="exact"/>
        <w:ind w:left="0" w:firstLine="0" w:firstLineChars="0"/>
        <w:rPr>
          <w:rFonts w:ascii="宋体" w:hAnsi="宋体" w:cs="宋体"/>
          <w:sz w:val="24"/>
          <w:szCs w:val="24"/>
        </w:rPr>
      </w:pPr>
      <w:r>
        <w:rPr>
          <w:rFonts w:ascii="宋体" w:hAnsi="宋体" w:cs="宋体"/>
          <w:sz w:val="24"/>
          <w:szCs w:val="24"/>
        </w:rPr>
        <w:drawing>
          <wp:anchor distT="0" distB="0" distL="114300" distR="114300" simplePos="0" relativeHeight="251749376" behindDoc="0" locked="0" layoutInCell="1" allowOverlap="1">
            <wp:simplePos x="0" y="0"/>
            <wp:positionH relativeFrom="column">
              <wp:posOffset>1903095</wp:posOffset>
            </wp:positionH>
            <wp:positionV relativeFrom="paragraph">
              <wp:posOffset>536575</wp:posOffset>
            </wp:positionV>
            <wp:extent cx="1743075" cy="1590675"/>
            <wp:effectExtent l="0" t="0" r="9525" b="9525"/>
            <wp:wrapTopAndBottom/>
            <wp:docPr id="1086969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69205" name="图片 1"/>
                    <pic:cNvPicPr>
                      <a:picLocks noChangeAspect="1" noChangeArrowheads="1"/>
                    </pic:cNvPicPr>
                  </pic:nvPicPr>
                  <pic:blipFill>
                    <a:blip r:embed="rId46" cstate="print">
                      <a:extLst>
                        <a:ext uri="{28A0092B-C50C-407E-A947-70E740481C1C}">
                          <a14:useLocalDpi xmlns:a14="http://schemas.microsoft.com/office/drawing/2010/main" val="0"/>
                        </a:ext>
                      </a:extLst>
                    </a:blip>
                    <a:srcRect l="41597" t="36135" r="19958" b="28781"/>
                    <a:stretch>
                      <a:fillRect/>
                    </a:stretch>
                  </pic:blipFill>
                  <pic:spPr>
                    <a:xfrm>
                      <a:off x="0" y="0"/>
                      <a:ext cx="1743075" cy="1590675"/>
                    </a:xfrm>
                    <a:prstGeom prst="rect">
                      <a:avLst/>
                    </a:prstGeom>
                    <a:noFill/>
                    <a:ln>
                      <a:noFill/>
                    </a:ln>
                  </pic:spPr>
                </pic:pic>
              </a:graphicData>
            </a:graphic>
          </wp:anchor>
        </w:drawing>
      </w:r>
      <w:r>
        <w:rPr>
          <w:rFonts w:hint="eastAsia" w:ascii="宋体" w:hAnsi="宋体" w:cs="宋体"/>
          <w:sz w:val="24"/>
          <w:szCs w:val="24"/>
        </w:rPr>
        <w:t>当卫生间可满足盥洗区与如厕淋浴区独立设置时，宜保证如厕淋浴区的护理空间和轮椅停放空间。（图5.7.1-</w:t>
      </w:r>
      <w:r>
        <w:rPr>
          <w:rFonts w:ascii="宋体" w:hAnsi="宋体" w:cs="宋体"/>
          <w:sz w:val="24"/>
          <w:szCs w:val="24"/>
        </w:rPr>
        <w:t>4</w:t>
      </w:r>
      <w:r>
        <w:rPr>
          <w:rFonts w:hint="eastAsia" w:ascii="宋体" w:hAnsi="宋体" w:cs="宋体"/>
          <w:sz w:val="24"/>
          <w:szCs w:val="24"/>
        </w:rPr>
        <w:t>）</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图5.7.1-</w:t>
      </w:r>
      <w:r>
        <w:rPr>
          <w:rFonts w:ascii="宋体" w:hAnsi="宋体" w:cs="宋体"/>
          <w:szCs w:val="21"/>
        </w:rPr>
        <w:t>4</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坐便区宜设适老化坐便器，对于自理老年人，坐便器的高度不宜小于450mm；对于坐轮椅老年人，坐便器高度宜为450～500mm。</w:t>
      </w:r>
    </w:p>
    <w:p>
      <w:pPr>
        <w:pStyle w:val="104"/>
        <w:numPr>
          <w:ilvl w:val="0"/>
          <w:numId w:val="17"/>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当无法达到坐姿高度要求时，可以通过相应的辅具满足老年人可以坐厕的需求。</w:t>
      </w:r>
    </w:p>
    <w:p>
      <w:pPr>
        <w:pStyle w:val="104"/>
        <w:numPr>
          <w:ilvl w:val="0"/>
          <w:numId w:val="17"/>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坐便器旁宜安装L形扶手，扶手的竖杆距离坐便器前端200～300mm，横杆高出坐便器顶面200～250mm左右，具体尺寸可根据老年人的身体条件进行调节。</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盥洗区宜设置盥洗台和置物柜。</w:t>
      </w:r>
    </w:p>
    <w:p>
      <w:pPr>
        <w:pStyle w:val="104"/>
        <w:numPr>
          <w:ilvl w:val="0"/>
          <w:numId w:val="18"/>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drawing>
          <wp:anchor distT="0" distB="0" distL="114300" distR="114300" simplePos="0" relativeHeight="251709440" behindDoc="0" locked="0" layoutInCell="1" allowOverlap="1">
            <wp:simplePos x="0" y="0"/>
            <wp:positionH relativeFrom="margin">
              <wp:align>center</wp:align>
            </wp:positionH>
            <wp:positionV relativeFrom="paragraph">
              <wp:posOffset>848995</wp:posOffset>
            </wp:positionV>
            <wp:extent cx="2796540" cy="2949575"/>
            <wp:effectExtent l="0" t="0" r="3810" b="3175"/>
            <wp:wrapTopAndBottom/>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7" cstate="print">
                      <a:extLst>
                        <a:ext uri="{28A0092B-C50C-407E-A947-70E740481C1C}">
                          <a14:useLocalDpi xmlns:a14="http://schemas.microsoft.com/office/drawing/2010/main" val="0"/>
                        </a:ext>
                      </a:extLst>
                    </a:blip>
                    <a:srcRect l="4198" t="12868" r="26205" b="13732"/>
                    <a:stretch>
                      <a:fillRect/>
                    </a:stretch>
                  </pic:blipFill>
                  <pic:spPr>
                    <a:xfrm>
                      <a:off x="0" y="0"/>
                      <a:ext cx="2796540" cy="2949575"/>
                    </a:xfrm>
                    <a:prstGeom prst="rect">
                      <a:avLst/>
                    </a:prstGeom>
                    <a:ln>
                      <a:noFill/>
                    </a:ln>
                  </pic:spPr>
                </pic:pic>
              </a:graphicData>
            </a:graphic>
          </wp:anchor>
        </w:drawing>
      </w:r>
      <w:r>
        <w:rPr>
          <w:rFonts w:hint="eastAsia" w:ascii="宋体" w:hAnsi="宋体" w:cs="宋体"/>
          <w:sz w:val="24"/>
          <w:szCs w:val="24"/>
        </w:rPr>
        <w:t>盥洗台下方宜留空，方便坐姿洗漱或乘坐轮椅的老年人使用，台下留空净高不宜小于650mm，净深不宜小于350mm。方便老年人摆放、拿取物品。（图5.7.</w:t>
      </w:r>
      <w:r>
        <w:rPr>
          <w:rFonts w:ascii="宋体" w:hAnsi="宋体" w:cs="宋体"/>
          <w:sz w:val="24"/>
          <w:szCs w:val="24"/>
        </w:rPr>
        <w:t>3</w:t>
      </w:r>
      <w:r>
        <w:rPr>
          <w:rFonts w:hint="eastAsia" w:ascii="宋体" w:hAnsi="宋体" w:cs="宋体"/>
          <w:sz w:val="24"/>
          <w:szCs w:val="24"/>
        </w:rPr>
        <w:t>-1）</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图5.7.</w:t>
      </w:r>
      <w:r>
        <w:rPr>
          <w:rFonts w:ascii="宋体" w:hAnsi="宋体" w:cs="宋体"/>
          <w:szCs w:val="21"/>
        </w:rPr>
        <w:t>3</w:t>
      </w:r>
      <w:r>
        <w:rPr>
          <w:rFonts w:hint="eastAsia" w:ascii="宋体" w:hAnsi="宋体" w:cs="宋体"/>
          <w:szCs w:val="21"/>
        </w:rPr>
        <w:t>-1 盥洗台下方宜留空示意</w:t>
      </w:r>
    </w:p>
    <w:p>
      <w:pPr>
        <w:pStyle w:val="104"/>
        <w:numPr>
          <w:ilvl w:val="0"/>
          <w:numId w:val="18"/>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宜考虑镜箱，镜子下沿距离地面高度在800～950mm为宜，以便于老年人坐着看到镜子。</w:t>
      </w:r>
    </w:p>
    <w:p>
      <w:pPr>
        <w:pStyle w:val="104"/>
        <w:numPr>
          <w:ilvl w:val="0"/>
          <w:numId w:val="18"/>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水龙头尽量采用单控的冷热水混水龙头，使出水水温较为适宜。水龙头把手的形状宜替换为省力的杠杆式，或可拔出的龙头，拔出后可以给老年人洗发。</w:t>
      </w:r>
    </w:p>
    <w:p>
      <w:pPr>
        <w:pStyle w:val="104"/>
        <w:numPr>
          <w:ilvl w:val="0"/>
          <w:numId w:val="18"/>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毛巾架需尽量靠近盥洗台放置，方便老年人洗手后就近擦手。毛巾杆宜采用较长的横杆式，便于毛巾的平铺晾晒。</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淋浴区宜有相对完整独立的区域。</w:t>
      </w:r>
    </w:p>
    <w:p>
      <w:pPr>
        <w:pStyle w:val="104"/>
        <w:numPr>
          <w:ilvl w:val="0"/>
          <w:numId w:val="19"/>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淋浴区宜预留出他人护理洗浴的空间。</w:t>
      </w:r>
    </w:p>
    <w:p>
      <w:pPr>
        <w:pStyle w:val="104"/>
        <w:numPr>
          <w:ilvl w:val="0"/>
          <w:numId w:val="19"/>
        </w:numPr>
        <w:spacing w:line="400" w:lineRule="exact"/>
        <w:ind w:left="0" w:firstLine="0" w:firstLineChars="0"/>
        <w:rPr>
          <w:rFonts w:ascii="宋体" w:hAnsi="宋体" w:cs="宋体"/>
          <w:sz w:val="24"/>
          <w:szCs w:val="24"/>
        </w:rPr>
      </w:pPr>
      <w:r>
        <w:rPr>
          <w:rFonts w:hint="eastAsia" w:ascii="宋体" w:hAnsi="宋体" w:cs="宋体"/>
          <w:sz w:val="24"/>
          <w:szCs w:val="24"/>
        </w:rPr>
        <w:t>为避免淋浴区出现高差，以方便照护人员帮助老年人洗浴，淋浴间宜使用浴帘，不宜选择玻璃淋浴隔档。</w:t>
      </w:r>
    </w:p>
    <w:p>
      <w:pPr>
        <w:pStyle w:val="104"/>
        <w:numPr>
          <w:ilvl w:val="0"/>
          <w:numId w:val="19"/>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淋浴区的地面排水尽量通过地面坡度排向淋浴区角落，并设置地漏，使洗浴时的积水向内侧排放。不宜采用突出地面的挡水条，建议在淋浴区外侧设置截水篦子，以防止积水外溢至相邻的其他区域，带来安全隐患。</w:t>
      </w:r>
    </w:p>
    <w:p>
      <w:pPr>
        <w:pStyle w:val="104"/>
        <w:numPr>
          <w:ilvl w:val="0"/>
          <w:numId w:val="19"/>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淋浴区内可放置安全、稳固、防滑的折叠浴凳。</w:t>
      </w:r>
    </w:p>
    <w:p>
      <w:pPr>
        <w:pStyle w:val="104"/>
        <w:numPr>
          <w:ilvl w:val="0"/>
          <w:numId w:val="19"/>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花洒高度宜设置成滑杆形式，使老年人可以根据需要调节高度。</w:t>
      </w:r>
    </w:p>
    <w:p>
      <w:pPr>
        <w:pStyle w:val="104"/>
        <w:numPr>
          <w:ilvl w:val="0"/>
          <w:numId w:val="19"/>
        </w:numPr>
        <w:spacing w:line="400" w:lineRule="exact"/>
        <w:ind w:left="0" w:firstLine="0" w:firstLineChars="0"/>
        <w:rPr>
          <w:rFonts w:ascii="宋体" w:hAnsi="宋体" w:cs="宋体"/>
          <w:sz w:val="24"/>
          <w:szCs w:val="24"/>
        </w:rPr>
      </w:pPr>
      <w:r>
        <w:rPr>
          <w:rFonts w:hint="eastAsia" w:ascii="宋体" w:hAnsi="宋体" w:cs="宋体"/>
          <w:sz w:val="24"/>
          <w:szCs w:val="24"/>
        </w:rPr>
        <w:drawing>
          <wp:anchor distT="0" distB="0" distL="114300" distR="114300" simplePos="0" relativeHeight="251710464" behindDoc="0" locked="0" layoutInCell="1" allowOverlap="1">
            <wp:simplePos x="0" y="0"/>
            <wp:positionH relativeFrom="margin">
              <wp:posOffset>-284480</wp:posOffset>
            </wp:positionH>
            <wp:positionV relativeFrom="paragraph">
              <wp:posOffset>523875</wp:posOffset>
            </wp:positionV>
            <wp:extent cx="5853430" cy="2520315"/>
            <wp:effectExtent l="0" t="0" r="0" b="0"/>
            <wp:wrapTopAndBottom/>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8" cstate="print">
                      <a:extLst>
                        <a:ext uri="{28A0092B-C50C-407E-A947-70E740481C1C}">
                          <a14:useLocalDpi xmlns:a14="http://schemas.microsoft.com/office/drawing/2010/main" val="0"/>
                        </a:ext>
                      </a:extLst>
                    </a:blip>
                    <a:srcRect l="4100" t="17510" r="13916" b="12485"/>
                    <a:stretch>
                      <a:fillRect/>
                    </a:stretch>
                  </pic:blipFill>
                  <pic:spPr>
                    <a:xfrm>
                      <a:off x="0" y="0"/>
                      <a:ext cx="5853430" cy="2520315"/>
                    </a:xfrm>
                    <a:prstGeom prst="rect">
                      <a:avLst/>
                    </a:prstGeom>
                    <a:ln>
                      <a:noFill/>
                    </a:ln>
                  </pic:spPr>
                </pic:pic>
              </a:graphicData>
            </a:graphic>
          </wp:anchor>
        </w:drawing>
      </w:r>
      <w:r>
        <w:rPr>
          <w:rFonts w:hint="eastAsia" w:ascii="宋体" w:hAnsi="宋体" w:cs="宋体"/>
          <w:sz w:val="24"/>
          <w:szCs w:val="24"/>
        </w:rPr>
        <w:t>淋浴区横向扶手的距地高度宜为650～700mm，纵向扶手顶端距地高度宜大于1400mm。（图5.7.</w:t>
      </w:r>
      <w:r>
        <w:rPr>
          <w:rFonts w:ascii="宋体" w:hAnsi="宋体" w:cs="宋体"/>
          <w:sz w:val="24"/>
          <w:szCs w:val="24"/>
        </w:rPr>
        <w:t>4</w:t>
      </w:r>
      <w:r>
        <w:rPr>
          <w:rFonts w:hint="eastAsia" w:ascii="宋体" w:hAnsi="宋体" w:cs="宋体"/>
          <w:sz w:val="24"/>
          <w:szCs w:val="24"/>
        </w:rPr>
        <w:t>-1、图5.7.</w:t>
      </w:r>
      <w:r>
        <w:rPr>
          <w:rFonts w:ascii="宋体" w:hAnsi="宋体" w:cs="宋体"/>
          <w:sz w:val="24"/>
          <w:szCs w:val="24"/>
        </w:rPr>
        <w:t>4</w:t>
      </w:r>
      <w:r>
        <w:rPr>
          <w:rFonts w:hint="eastAsia" w:ascii="宋体" w:hAnsi="宋体" w:cs="宋体"/>
          <w:sz w:val="24"/>
          <w:szCs w:val="24"/>
        </w:rPr>
        <w:t>-2、图5.7.</w:t>
      </w:r>
      <w:r>
        <w:rPr>
          <w:rFonts w:ascii="宋体" w:hAnsi="宋体" w:cs="宋体"/>
          <w:sz w:val="24"/>
          <w:szCs w:val="24"/>
        </w:rPr>
        <w:t>4</w:t>
      </w:r>
      <w:r>
        <w:rPr>
          <w:rFonts w:hint="eastAsia" w:ascii="宋体" w:hAnsi="宋体" w:cs="宋体"/>
          <w:sz w:val="24"/>
          <w:szCs w:val="24"/>
        </w:rPr>
        <w:t>-3）</w:t>
      </w:r>
    </w:p>
    <w:p>
      <w:pPr>
        <w:pStyle w:val="104"/>
        <w:spacing w:line="400" w:lineRule="exact"/>
        <w:ind w:firstLine="0" w:firstLineChars="0"/>
        <w:jc w:val="center"/>
        <w:rPr>
          <w:rFonts w:ascii="宋体" w:hAnsi="宋体" w:cs="宋体"/>
          <w:szCs w:val="21"/>
        </w:rPr>
      </w:pPr>
      <w:r>
        <w:rPr>
          <w:rFonts w:hint="eastAsia" w:ascii="宋体" w:hAnsi="宋体" w:cs="宋体"/>
          <w:szCs w:val="21"/>
        </w:rPr>
        <w:t>图5.7.</w:t>
      </w:r>
      <w:r>
        <w:rPr>
          <w:rFonts w:ascii="宋体" w:hAnsi="宋体" w:cs="宋体"/>
          <w:szCs w:val="21"/>
        </w:rPr>
        <w:t>4</w:t>
      </w:r>
      <w:r>
        <w:rPr>
          <w:rFonts w:hint="eastAsia" w:ascii="宋体" w:hAnsi="宋体" w:cs="宋体"/>
          <w:szCs w:val="21"/>
        </w:rPr>
        <w:t xml:space="preserve">-1浴缸旁扶手       </w:t>
      </w:r>
      <w:r>
        <w:rPr>
          <w:rFonts w:ascii="宋体" w:hAnsi="宋体" w:cs="宋体"/>
          <w:szCs w:val="21"/>
        </w:rPr>
        <w:t xml:space="preserve">    </w:t>
      </w:r>
      <w:r>
        <w:rPr>
          <w:rFonts w:hint="eastAsia" w:ascii="宋体" w:hAnsi="宋体" w:cs="宋体"/>
          <w:szCs w:val="21"/>
        </w:rPr>
        <w:t xml:space="preserve"> 图5.7.</w:t>
      </w:r>
      <w:r>
        <w:rPr>
          <w:rFonts w:ascii="宋体" w:hAnsi="宋体" w:cs="宋体"/>
          <w:szCs w:val="21"/>
        </w:rPr>
        <w:t>4</w:t>
      </w:r>
      <w:r>
        <w:rPr>
          <w:rFonts w:hint="eastAsia" w:ascii="宋体" w:hAnsi="宋体" w:cs="宋体"/>
          <w:szCs w:val="21"/>
        </w:rPr>
        <w:t>-2站姿淋浴扶手   图5.7.</w:t>
      </w:r>
      <w:r>
        <w:rPr>
          <w:rFonts w:ascii="宋体" w:hAnsi="宋体" w:cs="宋体"/>
          <w:szCs w:val="21"/>
        </w:rPr>
        <w:t>4</w:t>
      </w:r>
      <w:r>
        <w:rPr>
          <w:rFonts w:hint="eastAsia" w:ascii="宋体" w:hAnsi="宋体" w:cs="宋体"/>
          <w:szCs w:val="21"/>
        </w:rPr>
        <w:t>-3坐姿淋浴扶手</w:t>
      </w:r>
    </w:p>
    <w:p>
      <w:pPr>
        <w:pStyle w:val="104"/>
        <w:spacing w:line="400" w:lineRule="exact"/>
        <w:ind w:firstLine="0" w:firstLineChars="0"/>
        <w:rPr>
          <w:rFonts w:ascii="宋体" w:hAnsi="宋体" w:cs="宋体"/>
          <w:szCs w:val="21"/>
        </w:rPr>
      </w:pP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卫生间的门宜为上导轨推拉门或折叠门，且门净宽不宜小于800mm。门锁应设计成内外双重锁，保证在发生紧急情况时能从外面开启。</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卫生间淋浴区宜设置带有加热、排风抽湿和照明功能的浴霸或其他新型采暖设施，在老人洗浴时和入浴前后加热室温，避免老人着凉，及时排走室内潮气，以免给老人带来憋闷感。</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卫生间的灯具宜有两处灯源，防止因一个灯具突然损坏没有照明，老年人在黑暗中跌倒。可在坐便器上方设灯，辅助老年人检查排泄物是否正常。</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宜为智能马桶、吹风机、浴霸、电热水器、洗衣机等设备预留插座位置。插座和开关应采用密闭防水型，以方便老年人识别和按压操作。</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卫生间墙面应采用防水、耐污、易清洁的材料。</w:t>
      </w:r>
    </w:p>
    <w:p>
      <w:pPr>
        <w:keepNext/>
        <w:keepLines/>
        <w:numPr>
          <w:ilvl w:val="1"/>
          <w:numId w:val="5"/>
        </w:numPr>
        <w:spacing w:before="187" w:beforeLines="60" w:after="187" w:afterLines="60" w:line="400" w:lineRule="exact"/>
        <w:jc w:val="center"/>
        <w:outlineLvl w:val="0"/>
        <w:rPr>
          <w:rFonts w:ascii="黑体" w:hAnsi="黑体" w:eastAsia="黑体" w:cs="黑体"/>
          <w:b/>
          <w:bCs/>
          <w:sz w:val="32"/>
          <w:szCs w:val="32"/>
        </w:rPr>
      </w:pPr>
      <w:bookmarkStart w:id="39" w:name="_Toc151217818"/>
      <w:r>
        <w:rPr>
          <w:rFonts w:hint="eastAsia" w:ascii="黑体" w:hAnsi="黑体" w:eastAsia="黑体" w:cs="黑体"/>
          <w:b/>
          <w:bCs/>
          <w:sz w:val="32"/>
          <w:szCs w:val="32"/>
        </w:rPr>
        <w:t>阳台</w:t>
      </w:r>
      <w:bookmarkEnd w:id="39"/>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对阳台进行适老化设计时，宜考虑老年人洗涤衣物、晾晒衣物、晒太阳等行为的空间需求。</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阳台为落地玻璃窗及玻璃栏板时，应在其内侧增设350mm高不锈钢挡板。阳台栏板或栏杆净高不应低于1100mm。</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阳台、露台宜采取无高差设计，若高差难以消除，阳台与室内地面的高差不应大于</w:t>
      </w:r>
      <w:r>
        <w:rPr>
          <w:rFonts w:cs="黑体" w:asciiTheme="minorEastAsia" w:hAnsiTheme="minorEastAsia" w:eastAsiaTheme="minorEastAsia"/>
          <w:kern w:val="44"/>
          <w:sz w:val="24"/>
          <w:szCs w:val="24"/>
        </w:rPr>
        <w:t>15mm，并应以斜坡过渡。</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阳台、露台应采用升降晾衣杆或低位晾衣杆，宜选用电动升降晾衣设备。</w:t>
      </w:r>
    </w:p>
    <w:p>
      <w:pPr>
        <w:widowControl/>
        <w:spacing w:line="400" w:lineRule="exact"/>
        <w:jc w:val="left"/>
        <w:rPr>
          <w:rFonts w:ascii="宋体" w:hAnsi="宋体" w:cs="宋体"/>
          <w:sz w:val="24"/>
          <w:szCs w:val="24"/>
        </w:rPr>
      </w:pPr>
      <w:r>
        <w:rPr>
          <w:rFonts w:ascii="宋体" w:hAnsi="宋体" w:cs="宋体"/>
          <w:sz w:val="24"/>
          <w:szCs w:val="24"/>
        </w:rPr>
        <w:br w:type="page"/>
      </w:r>
    </w:p>
    <w:p>
      <w:pPr>
        <w:autoSpaceDE w:val="0"/>
        <w:autoSpaceDN w:val="0"/>
        <w:adjustRightInd w:val="0"/>
        <w:spacing w:line="400" w:lineRule="exact"/>
        <w:jc w:val="left"/>
        <w:rPr>
          <w:rFonts w:ascii="宋体" w:hAnsi="宋体" w:cs="宋体"/>
          <w:sz w:val="24"/>
          <w:szCs w:val="24"/>
        </w:rPr>
      </w:pPr>
    </w:p>
    <w:p>
      <w:pPr>
        <w:keepNext/>
        <w:keepLines/>
        <w:numPr>
          <w:ilvl w:val="0"/>
          <w:numId w:val="5"/>
        </w:numPr>
        <w:spacing w:before="187" w:beforeLines="60" w:after="187" w:afterLines="60" w:line="400" w:lineRule="exact"/>
        <w:jc w:val="center"/>
        <w:outlineLvl w:val="0"/>
        <w:rPr>
          <w:rFonts w:ascii="黑体" w:hAnsi="黑体" w:eastAsia="黑体" w:cs="黑体"/>
          <w:b/>
          <w:bCs/>
          <w:kern w:val="44"/>
          <w:sz w:val="32"/>
          <w:szCs w:val="32"/>
        </w:rPr>
      </w:pPr>
      <w:bookmarkStart w:id="40" w:name="_Toc151217819"/>
      <w:r>
        <w:rPr>
          <w:rFonts w:hint="eastAsia" w:ascii="黑体" w:hAnsi="黑体" w:eastAsia="黑体" w:cs="黑体"/>
          <w:b/>
          <w:bCs/>
          <w:kern w:val="44"/>
          <w:sz w:val="32"/>
          <w:szCs w:val="32"/>
        </w:rPr>
        <w:t>小区服务</w:t>
      </w:r>
      <w:bookmarkEnd w:id="40"/>
    </w:p>
    <w:p>
      <w:pPr>
        <w:numPr>
          <w:ilvl w:val="2"/>
          <w:numId w:val="20"/>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t>小区服务应配建社区老年人日间照料中心、老年人活动站、社区服务站、社区卫生服务站和社区商业网点等。</w:t>
      </w:r>
    </w:p>
    <w:p>
      <w:pPr>
        <w:numPr>
          <w:ilvl w:val="2"/>
          <w:numId w:val="20"/>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t>新建住宅小区(居住区)按照每百户不低于30平方米、建筑面积不小于300平方米的标准配建养老服务用房。（武政规〔2021〕6号）</w:t>
      </w:r>
    </w:p>
    <w:p>
      <w:pPr>
        <w:numPr>
          <w:ilvl w:val="2"/>
          <w:numId w:val="20"/>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t>社区老年人日间照料中心宜设置在日照良好处，且应根据建筑面积合理合理设置老年人的生活服务、保健康复、娱乐及辅助用房，其中：</w:t>
      </w:r>
    </w:p>
    <w:p>
      <w:pPr>
        <w:pStyle w:val="104"/>
        <w:numPr>
          <w:ilvl w:val="0"/>
          <w:numId w:val="21"/>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老年人生活服务用房应设置餐厅(含配餐间)，可包括休息室和沐浴间(含理发室)；</w:t>
      </w:r>
    </w:p>
    <w:p>
      <w:pPr>
        <w:pStyle w:val="104"/>
        <w:numPr>
          <w:ilvl w:val="0"/>
          <w:numId w:val="21"/>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老年人保健康复用房可包括医疗保健室、康复训练室和心理疏导室；</w:t>
      </w:r>
    </w:p>
    <w:p>
      <w:pPr>
        <w:pStyle w:val="104"/>
        <w:numPr>
          <w:ilvl w:val="0"/>
          <w:numId w:val="21"/>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老年人娱乐用房可包括阅览室(含书画室)、网络室和多功能活动室；</w:t>
      </w:r>
    </w:p>
    <w:p>
      <w:pPr>
        <w:pStyle w:val="104"/>
        <w:numPr>
          <w:ilvl w:val="0"/>
          <w:numId w:val="21"/>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辅助用房可包括办公室、厨房、洗衣房、公共卫生间和其他用房(含库房等)。</w:t>
      </w:r>
    </w:p>
    <w:p>
      <w:pPr>
        <w:numPr>
          <w:ilvl w:val="2"/>
          <w:numId w:val="20"/>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t>社区老年人日间照料中心的居室设置日托床位应符合下列规定（图6.0.</w:t>
      </w:r>
      <w:r>
        <w:rPr>
          <w:rFonts w:ascii="宋体" w:hAnsi="宋体" w:cs="宋体"/>
          <w:sz w:val="24"/>
          <w:szCs w:val="24"/>
        </w:rPr>
        <w:t>4</w:t>
      </w:r>
      <w:r>
        <w:rPr>
          <w:rFonts w:hint="eastAsia" w:ascii="宋体" w:hAnsi="宋体" w:cs="宋体"/>
          <w:sz w:val="24"/>
          <w:szCs w:val="24"/>
        </w:rPr>
        <w:t>）：</w:t>
      </w:r>
    </w:p>
    <w:p>
      <w:pPr>
        <w:pStyle w:val="104"/>
        <w:numPr>
          <w:ilvl w:val="0"/>
          <w:numId w:val="22"/>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每间居室宜按不小于6.00㎡/床的标准配置床位，床与床之间应有分隔措施，保护个人隐私；</w:t>
      </w:r>
    </w:p>
    <w:p>
      <w:pPr>
        <w:pStyle w:val="104"/>
        <w:numPr>
          <w:ilvl w:val="0"/>
          <w:numId w:val="22"/>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居室内应留有轮椅回转空间，主要通道的净宽不宜小于1.05m，床边留有护理、急救操作空间，相邻床位的长边间距不应小于1.20m；</w:t>
      </w:r>
    </w:p>
    <w:p>
      <w:pPr>
        <w:pStyle w:val="104"/>
        <w:numPr>
          <w:ilvl w:val="0"/>
          <w:numId w:val="22"/>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居室入口宜设置帮助识别与记忆的小物件放置处，或设置醒目明晰的图形或色彩标识；</w:t>
      </w:r>
    </w:p>
    <w:p>
      <w:pPr>
        <w:pStyle w:val="104"/>
        <w:numPr>
          <w:ilvl w:val="0"/>
          <w:numId w:val="22"/>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居室内轮椅通道墙壁下端宜设置轮椅防撞板；</w:t>
      </w:r>
    </w:p>
    <w:p>
      <w:pPr>
        <w:pStyle w:val="104"/>
        <w:numPr>
          <w:ilvl w:val="0"/>
          <w:numId w:val="22"/>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居室内宜配置符合适老化要求的卫生间。</w:t>
      </w:r>
    </w:p>
    <w:p>
      <w:pPr>
        <w:numPr>
          <w:ilvl w:val="2"/>
          <w:numId w:val="20"/>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t>社区老年人日间照料中心的文娱与健身用房应符合下列规定：</w:t>
      </w:r>
    </w:p>
    <w:p>
      <w:pPr>
        <w:pStyle w:val="104"/>
        <w:numPr>
          <w:ilvl w:val="0"/>
          <w:numId w:val="23"/>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地面应耐磨、防滑、有弹性；</w:t>
      </w:r>
    </w:p>
    <w:p>
      <w:pPr>
        <w:pStyle w:val="104"/>
        <w:numPr>
          <w:ilvl w:val="0"/>
          <w:numId w:val="23"/>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应采取措施避免或减少对老年人居室、休息室所产生的干扰。</w:t>
      </w:r>
    </w:p>
    <w:p>
      <w:pPr>
        <w:numPr>
          <w:ilvl w:val="2"/>
          <w:numId w:val="20"/>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t>社区老年人日间照料中心的保健康复用房应设置推床运输路径和病人等候空间，康复用房宜设置盥洗盆或盥洗槽。</w:t>
      </w:r>
    </w:p>
    <w:p>
      <w:pPr>
        <w:numPr>
          <w:ilvl w:val="2"/>
          <w:numId w:val="20"/>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drawing>
          <wp:anchor distT="0" distB="0" distL="114300" distR="114300" simplePos="0" relativeHeight="251711488" behindDoc="0" locked="0" layoutInCell="1" allowOverlap="1">
            <wp:simplePos x="0" y="0"/>
            <wp:positionH relativeFrom="margin">
              <wp:align>left</wp:align>
            </wp:positionH>
            <wp:positionV relativeFrom="paragraph">
              <wp:posOffset>309245</wp:posOffset>
            </wp:positionV>
            <wp:extent cx="5351145" cy="2878455"/>
            <wp:effectExtent l="0" t="0" r="1905" b="0"/>
            <wp:wrapTopAndBottom/>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9" cstate="print">
                      <a:extLst>
                        <a:ext uri="{28A0092B-C50C-407E-A947-70E740481C1C}">
                          <a14:useLocalDpi xmlns:a14="http://schemas.microsoft.com/office/drawing/2010/main" val="0"/>
                        </a:ext>
                      </a:extLst>
                    </a:blip>
                    <a:srcRect l="15876" t="14288" r="25639" b="23322"/>
                    <a:stretch>
                      <a:fillRect/>
                    </a:stretch>
                  </pic:blipFill>
                  <pic:spPr>
                    <a:xfrm>
                      <a:off x="0" y="0"/>
                      <a:ext cx="5351145" cy="2878455"/>
                    </a:xfrm>
                    <a:prstGeom prst="rect">
                      <a:avLst/>
                    </a:prstGeom>
                    <a:ln>
                      <a:noFill/>
                    </a:ln>
                  </pic:spPr>
                </pic:pic>
              </a:graphicData>
            </a:graphic>
          </wp:anchor>
        </w:drawing>
      </w:r>
      <w:r>
        <w:rPr>
          <w:rFonts w:hint="eastAsia" w:ascii="宋体" w:hAnsi="宋体" w:cs="宋体"/>
          <w:sz w:val="24"/>
          <w:szCs w:val="24"/>
        </w:rPr>
        <w:t>社区老年人日间照料中心的居室浴室应设置助浴设施。（图6.0.</w:t>
      </w:r>
      <w:r>
        <w:rPr>
          <w:rFonts w:ascii="宋体" w:hAnsi="宋体" w:cs="宋体"/>
          <w:sz w:val="24"/>
          <w:szCs w:val="24"/>
        </w:rPr>
        <w:t>7</w:t>
      </w:r>
      <w:r>
        <w:rPr>
          <w:rFonts w:hint="eastAsia" w:ascii="宋体" w:hAnsi="宋体" w:cs="宋体"/>
          <w:sz w:val="24"/>
          <w:szCs w:val="24"/>
        </w:rPr>
        <w:t>）</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 w:val="24"/>
          <w:szCs w:val="24"/>
        </w:rPr>
        <w:drawing>
          <wp:anchor distT="0" distB="0" distL="114300" distR="114300" simplePos="0" relativeHeight="251712512" behindDoc="0" locked="0" layoutInCell="1" allowOverlap="1">
            <wp:simplePos x="0" y="0"/>
            <wp:positionH relativeFrom="margin">
              <wp:posOffset>1504950</wp:posOffset>
            </wp:positionH>
            <wp:positionV relativeFrom="page">
              <wp:posOffset>4438650</wp:posOffset>
            </wp:positionV>
            <wp:extent cx="2766060" cy="2009775"/>
            <wp:effectExtent l="0" t="0" r="0" b="9525"/>
            <wp:wrapTopAndBottom/>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0" cstate="print">
                      <a:extLst>
                        <a:ext uri="{28A0092B-C50C-407E-A947-70E740481C1C}">
                          <a14:useLocalDpi xmlns:a14="http://schemas.microsoft.com/office/drawing/2010/main" val="0"/>
                        </a:ext>
                      </a:extLst>
                    </a:blip>
                    <a:srcRect l="25899" t="14392" r="15086" b="42758"/>
                    <a:stretch>
                      <a:fillRect/>
                    </a:stretch>
                  </pic:blipFill>
                  <pic:spPr>
                    <a:xfrm>
                      <a:off x="0" y="0"/>
                      <a:ext cx="2766060" cy="2009775"/>
                    </a:xfrm>
                    <a:prstGeom prst="rect">
                      <a:avLst/>
                    </a:prstGeom>
                    <a:ln>
                      <a:noFill/>
                    </a:ln>
                  </pic:spPr>
                </pic:pic>
              </a:graphicData>
            </a:graphic>
          </wp:anchor>
        </w:drawing>
      </w:r>
      <w:r>
        <w:rPr>
          <w:rFonts w:hint="eastAsia" w:ascii="宋体" w:hAnsi="宋体" w:cs="宋体"/>
          <w:szCs w:val="21"/>
        </w:rPr>
        <w:t>图6.0.</w:t>
      </w:r>
      <w:r>
        <w:rPr>
          <w:rFonts w:ascii="宋体" w:hAnsi="宋体" w:cs="宋体"/>
          <w:szCs w:val="21"/>
        </w:rPr>
        <w:t>4</w:t>
      </w:r>
      <w:r>
        <w:rPr>
          <w:rFonts w:hint="eastAsia" w:ascii="宋体" w:hAnsi="宋体" w:cs="宋体"/>
          <w:szCs w:val="21"/>
        </w:rPr>
        <w:t xml:space="preserve"> 居家养老照料中心居室平面图</w:t>
      </w:r>
    </w:p>
    <w:p>
      <w:pPr>
        <w:pStyle w:val="104"/>
        <w:autoSpaceDE w:val="0"/>
        <w:autoSpaceDN w:val="0"/>
        <w:adjustRightInd w:val="0"/>
        <w:spacing w:line="400" w:lineRule="exact"/>
        <w:ind w:firstLine="0" w:firstLineChars="0"/>
        <w:jc w:val="center"/>
        <w:rPr>
          <w:rFonts w:ascii="宋体" w:hAnsi="宋体" w:cs="宋体"/>
          <w:szCs w:val="21"/>
        </w:rPr>
      </w:pPr>
      <w:r>
        <w:rPr>
          <w:rFonts w:hint="eastAsia" w:ascii="宋体" w:hAnsi="宋体" w:cs="宋体"/>
          <w:szCs w:val="21"/>
        </w:rPr>
        <w:t>图6.0.</w:t>
      </w:r>
      <w:r>
        <w:rPr>
          <w:rFonts w:ascii="宋体" w:hAnsi="宋体" w:cs="宋体"/>
          <w:szCs w:val="21"/>
        </w:rPr>
        <w:t>7</w:t>
      </w:r>
      <w:r>
        <w:rPr>
          <w:rFonts w:hint="eastAsia" w:ascii="宋体" w:hAnsi="宋体" w:cs="宋体"/>
          <w:szCs w:val="21"/>
        </w:rPr>
        <w:t xml:space="preserve"> 老年人独立浴室</w:t>
      </w:r>
    </w:p>
    <w:p>
      <w:pPr>
        <w:pStyle w:val="104"/>
        <w:autoSpaceDE w:val="0"/>
        <w:autoSpaceDN w:val="0"/>
        <w:adjustRightInd w:val="0"/>
        <w:spacing w:line="400" w:lineRule="exact"/>
        <w:ind w:firstLine="0" w:firstLineChars="0"/>
        <w:jc w:val="center"/>
        <w:rPr>
          <w:rFonts w:ascii="宋体" w:hAnsi="宋体" w:cs="宋体"/>
          <w:szCs w:val="21"/>
        </w:rPr>
      </w:pPr>
    </w:p>
    <w:p>
      <w:pPr>
        <w:numPr>
          <w:ilvl w:val="2"/>
          <w:numId w:val="20"/>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t>小区配建的社区服务用房的适老化设计应符合下列规定：</w:t>
      </w:r>
    </w:p>
    <w:p>
      <w:pPr>
        <w:pStyle w:val="104"/>
        <w:numPr>
          <w:ilvl w:val="0"/>
          <w:numId w:val="24"/>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有老年人经常性活动的场所内的墙角、柱子和物品凸出物应采取防撞措施；</w:t>
      </w:r>
    </w:p>
    <w:p>
      <w:pPr>
        <w:pStyle w:val="104"/>
        <w:numPr>
          <w:ilvl w:val="0"/>
          <w:numId w:val="24"/>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有老年人通行的通道应设置轮椅通道、轮椅坡道和扶手；</w:t>
      </w:r>
    </w:p>
    <w:p>
      <w:pPr>
        <w:pStyle w:val="104"/>
        <w:numPr>
          <w:ilvl w:val="0"/>
          <w:numId w:val="24"/>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有老年人停留的场所应设置安全抓杆；</w:t>
      </w:r>
    </w:p>
    <w:p>
      <w:pPr>
        <w:pStyle w:val="104"/>
        <w:numPr>
          <w:ilvl w:val="0"/>
          <w:numId w:val="24"/>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有老年人办事的服务台应设低位服务设施，并宜配置助听器和放大镜；</w:t>
      </w:r>
    </w:p>
    <w:p>
      <w:pPr>
        <w:pStyle w:val="104"/>
        <w:numPr>
          <w:ilvl w:val="0"/>
          <w:numId w:val="24"/>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老年人等候区应设置爱心座椅和轮椅休息区。</w:t>
      </w:r>
    </w:p>
    <w:p>
      <w:pPr>
        <w:pStyle w:val="104"/>
        <w:numPr>
          <w:ilvl w:val="0"/>
          <w:numId w:val="24"/>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卫生间应符合适老化及无障碍设计要求。</w:t>
      </w:r>
    </w:p>
    <w:p>
      <w:pPr>
        <w:widowControl/>
        <w:numPr>
          <w:ilvl w:val="2"/>
          <w:numId w:val="20"/>
        </w:numPr>
        <w:autoSpaceDE w:val="0"/>
        <w:autoSpaceDN w:val="0"/>
        <w:adjustRightInd w:val="0"/>
        <w:spacing w:line="400" w:lineRule="exact"/>
        <w:ind w:left="0" w:firstLine="0"/>
        <w:rPr>
          <w:rFonts w:ascii="宋体" w:hAnsi="宋体" w:cs="宋体"/>
          <w:sz w:val="24"/>
          <w:szCs w:val="24"/>
        </w:rPr>
      </w:pPr>
      <w:r>
        <w:rPr>
          <w:rFonts w:hint="eastAsia" w:ascii="宋体" w:hAnsi="宋体" w:cs="宋体"/>
          <w:sz w:val="24"/>
          <w:szCs w:val="24"/>
        </w:rPr>
        <w:t>小区配建的社区服务用房应设置防排烟和通风、空调、采暖设备，并满足相关规范要求。</w:t>
      </w:r>
      <w:r>
        <w:rPr>
          <w:rFonts w:ascii="宋体" w:hAnsi="宋体" w:cs="宋体"/>
          <w:sz w:val="24"/>
          <w:szCs w:val="24"/>
        </w:rPr>
        <w:br w:type="page"/>
      </w:r>
    </w:p>
    <w:p>
      <w:pPr>
        <w:keepNext/>
        <w:keepLines/>
        <w:numPr>
          <w:ilvl w:val="0"/>
          <w:numId w:val="5"/>
        </w:numPr>
        <w:spacing w:before="187" w:beforeLines="60" w:after="187" w:afterLines="60" w:line="400" w:lineRule="exact"/>
        <w:jc w:val="center"/>
        <w:outlineLvl w:val="0"/>
        <w:rPr>
          <w:rFonts w:ascii="黑体" w:hAnsi="黑体" w:eastAsia="黑体" w:cs="黑体"/>
          <w:b/>
          <w:bCs/>
          <w:kern w:val="44"/>
          <w:sz w:val="32"/>
          <w:szCs w:val="32"/>
        </w:rPr>
      </w:pPr>
      <w:bookmarkStart w:id="41" w:name="_Toc151217820"/>
      <w:r>
        <w:rPr>
          <w:rFonts w:hint="eastAsia" w:ascii="黑体" w:hAnsi="黑体" w:eastAsia="黑体" w:cs="黑体"/>
          <w:b/>
          <w:bCs/>
          <w:kern w:val="44"/>
          <w:sz w:val="32"/>
          <w:szCs w:val="32"/>
        </w:rPr>
        <w:t>信息辅助智能化</w:t>
      </w:r>
      <w:bookmarkEnd w:id="41"/>
    </w:p>
    <w:p>
      <w:pPr>
        <w:keepNext/>
        <w:keepLines/>
        <w:numPr>
          <w:ilvl w:val="1"/>
          <w:numId w:val="5"/>
        </w:numPr>
        <w:spacing w:before="187" w:beforeLines="60" w:after="187" w:afterLines="60" w:line="400" w:lineRule="exact"/>
        <w:jc w:val="center"/>
        <w:outlineLvl w:val="0"/>
        <w:rPr>
          <w:rFonts w:ascii="黑体" w:hAnsi="黑体" w:eastAsia="黑体" w:cs="黑体"/>
          <w:b/>
          <w:bCs/>
          <w:kern w:val="44"/>
          <w:sz w:val="32"/>
          <w:szCs w:val="32"/>
        </w:rPr>
      </w:pPr>
      <w:bookmarkStart w:id="42" w:name="_Toc151217821"/>
      <w:r>
        <w:rPr>
          <w:rFonts w:hint="eastAsia" w:ascii="黑体" w:hAnsi="黑体" w:eastAsia="黑体" w:cs="黑体"/>
          <w:b/>
          <w:bCs/>
          <w:kern w:val="44"/>
          <w:sz w:val="32"/>
          <w:szCs w:val="32"/>
        </w:rPr>
        <w:t>应急求助系统</w:t>
      </w:r>
      <w:bookmarkEnd w:id="42"/>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起居厅、卧室、卫生间、淋浴间宜在明显位置设应急求助按钮，安装高度应符合下列要求，并应采用按钮和拉绳结合的方式，拉绳末端距地面不宜高于</w:t>
      </w:r>
      <w:r>
        <w:rPr>
          <w:rFonts w:cs="黑体" w:asciiTheme="minorEastAsia" w:hAnsiTheme="minorEastAsia" w:eastAsiaTheme="minorEastAsia"/>
          <w:kern w:val="44"/>
          <w:sz w:val="24"/>
          <w:szCs w:val="24"/>
        </w:rPr>
        <w:t>300</w:t>
      </w:r>
      <w:r>
        <w:rPr>
          <w:rFonts w:hint="eastAsia" w:cs="黑体" w:asciiTheme="minorEastAsia" w:hAnsiTheme="minorEastAsia" w:eastAsiaTheme="minorEastAsia"/>
          <w:kern w:val="44"/>
          <w:sz w:val="24"/>
          <w:szCs w:val="24"/>
        </w:rPr>
        <w:t>mm：</w:t>
      </w:r>
    </w:p>
    <w:p>
      <w:pPr>
        <w:pStyle w:val="104"/>
        <w:numPr>
          <w:ilvl w:val="0"/>
          <w:numId w:val="25"/>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起居厅等公共部位安装高度宜为</w:t>
      </w:r>
      <w:r>
        <w:rPr>
          <w:rFonts w:ascii="宋体" w:hAnsi="宋体" w:cs="宋体"/>
          <w:sz w:val="24"/>
          <w:szCs w:val="24"/>
        </w:rPr>
        <w:t>850</w:t>
      </w:r>
      <w:r>
        <w:rPr>
          <w:rFonts w:hint="eastAsia" w:ascii="宋体" w:hAnsi="宋体" w:cs="宋体"/>
          <w:sz w:val="24"/>
          <w:szCs w:val="24"/>
        </w:rPr>
        <w:t>mm～1</w:t>
      </w:r>
      <w:r>
        <w:rPr>
          <w:rFonts w:ascii="宋体" w:hAnsi="宋体" w:cs="宋体"/>
          <w:sz w:val="24"/>
          <w:szCs w:val="24"/>
        </w:rPr>
        <w:t>1</w:t>
      </w:r>
      <w:r>
        <w:rPr>
          <w:rFonts w:hint="eastAsia" w:ascii="宋体" w:hAnsi="宋体" w:cs="宋体"/>
          <w:sz w:val="24"/>
          <w:szCs w:val="24"/>
        </w:rPr>
        <w:t>00mm，并宜与电气开关面板同一高度安装；</w:t>
      </w:r>
    </w:p>
    <w:p>
      <w:pPr>
        <w:pStyle w:val="104"/>
        <w:numPr>
          <w:ilvl w:val="0"/>
          <w:numId w:val="25"/>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卧室床头安装高度宜为600mm～800mm，宜结合床高度与电气插座高度综合考虑，有条件可增加体征检测等智能设备；</w:t>
      </w:r>
    </w:p>
    <w:p>
      <w:pPr>
        <w:pStyle w:val="104"/>
        <w:numPr>
          <w:ilvl w:val="0"/>
          <w:numId w:val="25"/>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卫生间采用防水按钮，马桶处宜设置两处按钮，安装高度宜为400mm～500mm和8</w:t>
      </w:r>
      <w:r>
        <w:rPr>
          <w:rFonts w:ascii="宋体" w:hAnsi="宋体" w:cs="宋体"/>
          <w:sz w:val="24"/>
          <w:szCs w:val="24"/>
        </w:rPr>
        <w:t>50</w:t>
      </w:r>
      <w:r>
        <w:rPr>
          <w:rFonts w:hint="eastAsia" w:ascii="宋体" w:hAnsi="宋体" w:cs="宋体"/>
          <w:sz w:val="24"/>
          <w:szCs w:val="24"/>
        </w:rPr>
        <w:t>～1</w:t>
      </w:r>
      <w:r>
        <w:rPr>
          <w:rFonts w:ascii="宋体" w:hAnsi="宋体" w:cs="宋体"/>
          <w:sz w:val="24"/>
          <w:szCs w:val="24"/>
        </w:rPr>
        <w:t>100</w:t>
      </w:r>
      <w:r>
        <w:rPr>
          <w:rFonts w:hint="eastAsia" w:ascii="宋体" w:hAnsi="宋体" w:cs="宋体"/>
          <w:sz w:val="24"/>
          <w:szCs w:val="24"/>
        </w:rPr>
        <w:t>mm，若仅设置一处按钮，高度宜8</w:t>
      </w:r>
      <w:r>
        <w:rPr>
          <w:rFonts w:ascii="宋体" w:hAnsi="宋体" w:cs="宋体"/>
          <w:sz w:val="24"/>
          <w:szCs w:val="24"/>
        </w:rPr>
        <w:t>50</w:t>
      </w:r>
      <w:r>
        <w:rPr>
          <w:rFonts w:hint="eastAsia" w:ascii="宋体" w:hAnsi="宋体" w:cs="宋体"/>
          <w:sz w:val="24"/>
          <w:szCs w:val="24"/>
        </w:rPr>
        <w:t>～1</w:t>
      </w:r>
      <w:r>
        <w:rPr>
          <w:rFonts w:ascii="宋体" w:hAnsi="宋体" w:cs="宋体"/>
          <w:sz w:val="24"/>
          <w:szCs w:val="24"/>
        </w:rPr>
        <w:t>100</w:t>
      </w:r>
      <w:r>
        <w:rPr>
          <w:rFonts w:hint="eastAsia" w:ascii="宋体" w:hAnsi="宋体" w:cs="宋体"/>
          <w:sz w:val="24"/>
          <w:szCs w:val="24"/>
        </w:rPr>
        <w:t>mm且应设置救助呼叫拉绳，淋浴间处安装高度宜为800mm～1000mm。</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小区内主要供老年人活动的场地应配备视频监控系统、呼叫救助系统等，以便在老年人发生紧急情况时能快速回应，并提供救助服务。</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地面适老化兼无障碍机动车停车位附近宜设置视频监控系统和呼叫系统，以便于老年人发生突发情况时可及时呼救。</w:t>
      </w:r>
    </w:p>
    <w:p>
      <w:pPr>
        <w:numPr>
          <w:ilvl w:val="2"/>
          <w:numId w:val="5"/>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报警及求助信号可通过安防系统或智能化系统反馈给预设的应急联系人、物业管理中心、消防控制室或社区服务中心。</w:t>
      </w:r>
    </w:p>
    <w:p>
      <w:pPr>
        <w:keepNext/>
        <w:keepLines/>
        <w:numPr>
          <w:ilvl w:val="1"/>
          <w:numId w:val="26"/>
        </w:numPr>
        <w:spacing w:before="187" w:beforeLines="60" w:after="187" w:afterLines="60" w:line="400" w:lineRule="exact"/>
        <w:jc w:val="center"/>
        <w:outlineLvl w:val="0"/>
        <w:rPr>
          <w:rFonts w:ascii="黑体" w:hAnsi="黑体" w:eastAsia="黑体" w:cs="黑体"/>
          <w:b/>
          <w:bCs/>
          <w:kern w:val="44"/>
          <w:sz w:val="32"/>
          <w:szCs w:val="32"/>
        </w:rPr>
      </w:pPr>
      <w:bookmarkStart w:id="43" w:name="_Toc151217822"/>
      <w:r>
        <w:rPr>
          <w:rFonts w:hint="eastAsia" w:ascii="黑体" w:hAnsi="黑体" w:eastAsia="黑体" w:cs="黑体"/>
          <w:b/>
          <w:bCs/>
          <w:kern w:val="44"/>
          <w:sz w:val="32"/>
          <w:szCs w:val="32"/>
        </w:rPr>
        <w:t>智能化系统</w:t>
      </w:r>
      <w:bookmarkEnd w:id="43"/>
    </w:p>
    <w:p>
      <w:pPr>
        <w:numPr>
          <w:ilvl w:val="2"/>
          <w:numId w:val="27"/>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家居安防系统</w:t>
      </w:r>
    </w:p>
    <w:p>
      <w:pPr>
        <w:pStyle w:val="104"/>
        <w:numPr>
          <w:ilvl w:val="0"/>
          <w:numId w:val="28"/>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家庭配置可联网的智能门锁，配合可视对讲系统，对陌生人来访实现除家里老人外，子女或社区物业人员能够监测、操作。发生警情时，能触发报警并将报警信息发送到业主手机上。</w:t>
      </w:r>
    </w:p>
    <w:p>
      <w:pPr>
        <w:pStyle w:val="104"/>
        <w:numPr>
          <w:ilvl w:val="0"/>
          <w:numId w:val="28"/>
        </w:numPr>
        <w:autoSpaceDE w:val="0"/>
        <w:autoSpaceDN w:val="0"/>
        <w:adjustRightInd w:val="0"/>
        <w:spacing w:line="400" w:lineRule="exact"/>
        <w:ind w:left="0" w:firstLine="0" w:firstLineChars="0"/>
        <w:rPr>
          <w:rFonts w:cs="黑体" w:asciiTheme="minorEastAsia" w:hAnsiTheme="minorEastAsia" w:eastAsiaTheme="minorEastAsia"/>
          <w:kern w:val="44"/>
          <w:sz w:val="24"/>
          <w:szCs w:val="24"/>
        </w:rPr>
      </w:pPr>
      <w:r>
        <w:rPr>
          <w:rFonts w:hint="eastAsia" w:ascii="宋体" w:hAnsi="宋体" w:cs="宋体"/>
          <w:sz w:val="24"/>
          <w:szCs w:val="24"/>
        </w:rPr>
        <w:t>宜在老人常出现及易摔倒的地方设置无线探测报警设施。无线报警设施在设定时间内未检测到老年人活动时应能主动报警。老人卧室的床位正上方宜安装无线探头，实现</w:t>
      </w:r>
      <w:r>
        <w:rPr>
          <w:rFonts w:hint="eastAsia" w:cs="黑体" w:asciiTheme="minorEastAsia" w:hAnsiTheme="minorEastAsia" w:eastAsiaTheme="minorEastAsia"/>
          <w:kern w:val="44"/>
          <w:sz w:val="24"/>
          <w:szCs w:val="24"/>
        </w:rPr>
        <w:t>老人在床不动报警；在洗手间、客厅等老人日常必去的位置宜安装无线探头，实现长时间滞留、久坐不动提示报警。</w:t>
      </w:r>
    </w:p>
    <w:p>
      <w:pPr>
        <w:pStyle w:val="104"/>
        <w:numPr>
          <w:ilvl w:val="0"/>
          <w:numId w:val="28"/>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居室内所有无线报警信号，应能自动报警至预设的应急联系人、物业管理中心、消防控制室或社区服务中心。</w:t>
      </w:r>
    </w:p>
    <w:p>
      <w:pPr>
        <w:numPr>
          <w:ilvl w:val="2"/>
          <w:numId w:val="27"/>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家居控制系统</w:t>
      </w:r>
    </w:p>
    <w:p>
      <w:pPr>
        <w:pStyle w:val="104"/>
        <w:numPr>
          <w:ilvl w:val="0"/>
          <w:numId w:val="29"/>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通过语音可控制家里的空调、地暖、新风系统、照明等电器设备，减小老人操控上的难度。</w:t>
      </w:r>
    </w:p>
    <w:p>
      <w:pPr>
        <w:pStyle w:val="104"/>
        <w:numPr>
          <w:ilvl w:val="0"/>
          <w:numId w:val="29"/>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家居环境监测系统：监测空气质量、监测可燃气体泄漏、监测火情、监测家里积水情况。</w:t>
      </w:r>
    </w:p>
    <w:p>
      <w:pPr>
        <w:numPr>
          <w:ilvl w:val="2"/>
          <w:numId w:val="27"/>
        </w:numPr>
        <w:autoSpaceDE w:val="0"/>
        <w:autoSpaceDN w:val="0"/>
        <w:spacing w:line="400" w:lineRule="exact"/>
        <w:rPr>
          <w:rFonts w:ascii="宋体" w:hAnsi="宋体" w:cs="宋体"/>
          <w:sz w:val="24"/>
          <w:szCs w:val="24"/>
        </w:rPr>
      </w:pPr>
      <w:r>
        <w:rPr>
          <w:rFonts w:hint="eastAsia" w:cs="黑体" w:asciiTheme="minorEastAsia" w:hAnsiTheme="minorEastAsia" w:eastAsiaTheme="minorEastAsia"/>
          <w:kern w:val="44"/>
          <w:sz w:val="24"/>
          <w:szCs w:val="24"/>
        </w:rPr>
        <w:t>家居电力监测系统，</w:t>
      </w:r>
      <w:r>
        <w:rPr>
          <w:rFonts w:hint="eastAsia" w:ascii="宋体" w:hAnsi="宋体" w:cs="宋体"/>
          <w:sz w:val="24"/>
          <w:szCs w:val="24"/>
        </w:rPr>
        <w:t>监测家里用电设备过载、漏电、过热，并将故障信号报送到社区物业。</w:t>
      </w:r>
    </w:p>
    <w:p>
      <w:pPr>
        <w:numPr>
          <w:ilvl w:val="2"/>
          <w:numId w:val="27"/>
        </w:numPr>
        <w:autoSpaceDE w:val="0"/>
        <w:autoSpaceDN w:val="0"/>
        <w:spacing w:line="400" w:lineRule="exact"/>
        <w:rPr>
          <w:rFonts w:cs="黑体" w:asciiTheme="minorEastAsia" w:hAnsiTheme="minorEastAsia" w:eastAsiaTheme="minorEastAsia"/>
          <w:kern w:val="44"/>
          <w:sz w:val="24"/>
          <w:szCs w:val="24"/>
        </w:rPr>
      </w:pPr>
      <w:r>
        <w:rPr>
          <w:rFonts w:hint="eastAsia" w:cs="黑体" w:asciiTheme="minorEastAsia" w:hAnsiTheme="minorEastAsia" w:eastAsiaTheme="minorEastAsia"/>
          <w:kern w:val="44"/>
          <w:sz w:val="24"/>
          <w:szCs w:val="24"/>
        </w:rPr>
        <w:t>家居健康监测系统</w:t>
      </w:r>
    </w:p>
    <w:p>
      <w:pPr>
        <w:pStyle w:val="104"/>
        <w:numPr>
          <w:ilvl w:val="0"/>
          <w:numId w:val="30"/>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可通过智能化控制器和传感器，或老人随身佩带的智能化辅具，对各项生理指标（体温、脉搏、血压、血糖等）进行监测和分析，建立个人健康档案。</w:t>
      </w:r>
    </w:p>
    <w:p>
      <w:pPr>
        <w:pStyle w:val="104"/>
        <w:numPr>
          <w:ilvl w:val="0"/>
          <w:numId w:val="30"/>
        </w:numPr>
        <w:autoSpaceDE w:val="0"/>
        <w:autoSpaceDN w:val="0"/>
        <w:adjustRightInd w:val="0"/>
        <w:spacing w:line="400" w:lineRule="exact"/>
        <w:ind w:left="0" w:firstLine="0" w:firstLineChars="0"/>
        <w:rPr>
          <w:rFonts w:ascii="宋体" w:hAnsi="宋体" w:cs="宋体"/>
          <w:sz w:val="24"/>
          <w:szCs w:val="24"/>
        </w:rPr>
      </w:pPr>
      <w:r>
        <w:rPr>
          <w:rFonts w:hint="eastAsia" w:ascii="宋体" w:hAnsi="宋体" w:cs="宋体"/>
          <w:sz w:val="24"/>
          <w:szCs w:val="24"/>
        </w:rPr>
        <w:t>可通过远程视频，为老人的病情提供诊断和服务，实现远程就医。</w:t>
      </w:r>
    </w:p>
    <w:p>
      <w:pPr>
        <w:widowControl/>
        <w:autoSpaceDE w:val="0"/>
        <w:autoSpaceDN w:val="0"/>
        <w:spacing w:line="400" w:lineRule="exact"/>
        <w:jc w:val="left"/>
        <w:rPr>
          <w:rFonts w:cs="黑体" w:asciiTheme="minorEastAsia" w:hAnsiTheme="minorEastAsia" w:eastAsiaTheme="minorEastAsia"/>
          <w:kern w:val="44"/>
          <w:sz w:val="24"/>
          <w:szCs w:val="24"/>
        </w:rPr>
      </w:pPr>
    </w:p>
    <w:p>
      <w:pPr>
        <w:widowControl/>
        <w:autoSpaceDE w:val="0"/>
        <w:autoSpaceDN w:val="0"/>
        <w:spacing w:line="400" w:lineRule="exact"/>
        <w:jc w:val="left"/>
        <w:rPr>
          <w:rFonts w:cs="黑体" w:asciiTheme="minorEastAsia" w:hAnsiTheme="minorEastAsia" w:eastAsiaTheme="minorEastAsia"/>
          <w:kern w:val="44"/>
          <w:sz w:val="24"/>
          <w:szCs w:val="24"/>
        </w:rPr>
      </w:pPr>
    </w:p>
    <w:p>
      <w:pPr>
        <w:widowControl/>
        <w:autoSpaceDE w:val="0"/>
        <w:autoSpaceDN w:val="0"/>
        <w:spacing w:line="400" w:lineRule="exact"/>
        <w:jc w:val="left"/>
        <w:rPr>
          <w:rFonts w:cs="黑体" w:asciiTheme="minorEastAsia" w:hAnsiTheme="minorEastAsia" w:eastAsiaTheme="minorEastAsia"/>
          <w:kern w:val="44"/>
          <w:sz w:val="24"/>
          <w:szCs w:val="24"/>
        </w:rPr>
      </w:pPr>
    </w:p>
    <w:p>
      <w:pPr>
        <w:widowControl/>
        <w:autoSpaceDE w:val="0"/>
        <w:autoSpaceDN w:val="0"/>
        <w:spacing w:line="400" w:lineRule="exact"/>
        <w:jc w:val="left"/>
        <w:rPr>
          <w:rFonts w:cs="黑体" w:asciiTheme="minorEastAsia" w:hAnsiTheme="minorEastAsia" w:eastAsiaTheme="minorEastAsia"/>
          <w:kern w:val="44"/>
          <w:sz w:val="24"/>
          <w:szCs w:val="24"/>
        </w:rPr>
      </w:pPr>
    </w:p>
    <w:p>
      <w:pPr>
        <w:widowControl/>
        <w:autoSpaceDE w:val="0"/>
        <w:autoSpaceDN w:val="0"/>
        <w:spacing w:line="400" w:lineRule="exact"/>
        <w:jc w:val="left"/>
        <w:rPr>
          <w:rFonts w:ascii="宋体" w:hAnsi="宋体" w:cs="宋体"/>
          <w:sz w:val="24"/>
          <w:szCs w:val="24"/>
        </w:rPr>
      </w:pPr>
      <w:r>
        <w:rPr>
          <w:rFonts w:ascii="宋体" w:hAnsi="宋体" w:cs="宋体"/>
          <w:sz w:val="24"/>
          <w:szCs w:val="24"/>
        </w:rPr>
        <w:br w:type="page"/>
      </w:r>
    </w:p>
    <w:p>
      <w:pPr>
        <w:keepNext/>
        <w:keepLines/>
        <w:spacing w:before="187" w:beforeLines="60" w:after="187" w:afterLines="60" w:line="400" w:lineRule="exact"/>
        <w:jc w:val="center"/>
        <w:outlineLvl w:val="0"/>
        <w:rPr>
          <w:rFonts w:ascii="黑体" w:hAnsi="黑体" w:eastAsia="黑体" w:cs="黑体"/>
          <w:b/>
          <w:bCs/>
          <w:kern w:val="44"/>
          <w:sz w:val="32"/>
          <w:szCs w:val="32"/>
        </w:rPr>
      </w:pPr>
      <w:bookmarkStart w:id="44" w:name="_Toc151217823"/>
      <w:r>
        <w:rPr>
          <w:rFonts w:hint="eastAsia" w:ascii="黑体" w:hAnsi="黑体" w:eastAsia="黑体" w:cs="黑体"/>
          <w:b/>
          <w:bCs/>
          <w:kern w:val="44"/>
          <w:sz w:val="32"/>
          <w:szCs w:val="32"/>
        </w:rPr>
        <w:t>附录</w:t>
      </w:r>
      <w:r>
        <w:rPr>
          <w:rFonts w:ascii="黑体" w:hAnsi="黑体" w:eastAsia="黑体" w:cs="黑体"/>
          <w:b/>
          <w:bCs/>
          <w:kern w:val="44"/>
          <w:sz w:val="32"/>
          <w:szCs w:val="32"/>
        </w:rPr>
        <w:t xml:space="preserve"> </w:t>
      </w:r>
      <w:r>
        <w:rPr>
          <w:rFonts w:hint="eastAsia" w:ascii="黑体" w:hAnsi="黑体" w:eastAsia="黑体" w:cs="黑体"/>
          <w:b/>
          <w:bCs/>
          <w:kern w:val="44"/>
          <w:sz w:val="32"/>
          <w:szCs w:val="32"/>
        </w:rPr>
        <w:t>适老化住宅和小区建设技术指标推荐性分级</w:t>
      </w:r>
      <w:bookmarkEnd w:id="44"/>
    </w:p>
    <w:p>
      <w:pPr>
        <w:pStyle w:val="104"/>
        <w:autoSpaceDE w:val="0"/>
        <w:autoSpaceDN w:val="0"/>
        <w:adjustRightInd w:val="0"/>
        <w:spacing w:line="400" w:lineRule="exact"/>
        <w:ind w:firstLine="0" w:firstLineChars="0"/>
        <w:jc w:val="left"/>
        <w:rPr>
          <w:rFonts w:ascii="黑体" w:hAnsi="黑体" w:eastAsia="黑体" w:cs="黑体"/>
          <w:b/>
          <w:bCs/>
          <w:kern w:val="44"/>
          <w:sz w:val="32"/>
          <w:szCs w:val="32"/>
        </w:rPr>
      </w:pPr>
    </w:p>
    <w:p>
      <w:pPr>
        <w:pStyle w:val="104"/>
        <w:autoSpaceDE w:val="0"/>
        <w:autoSpaceDN w:val="0"/>
        <w:adjustRightInd w:val="0"/>
        <w:spacing w:line="400" w:lineRule="exact"/>
        <w:ind w:firstLine="480"/>
        <w:rPr>
          <w:rFonts w:ascii="宋体" w:hAnsi="宋体" w:cs="宋体"/>
          <w:sz w:val="24"/>
          <w:szCs w:val="24"/>
        </w:rPr>
      </w:pPr>
      <w:r>
        <w:rPr>
          <w:rFonts w:hint="eastAsia" w:ascii="宋体" w:hAnsi="宋体" w:cs="宋体"/>
          <w:sz w:val="24"/>
          <w:szCs w:val="24"/>
        </w:rPr>
        <w:t>适老化住宅区别于一般住宅，旨在为老年人提供满足老年人生理、心理需求的住宅，因老年人个体差异性和需求性不同，并且结合市场化的需求，适老化在一定程度上可分级设置，并设置推荐性分级列表。附表1、附表2、附表3为基于老年人差异化需求将适老化住宅和小区建设分为基本型（</w:t>
      </w:r>
      <w:r>
        <w:rPr>
          <w:rFonts w:ascii="宋体" w:hAnsi="宋体" w:cs="宋体"/>
          <w:sz w:val="24"/>
          <w:szCs w:val="24"/>
        </w:rPr>
        <w:t>13</w:t>
      </w:r>
      <w:r>
        <w:rPr>
          <w:rFonts w:hint="eastAsia" w:ascii="宋体" w:hAnsi="宋体" w:cs="宋体"/>
          <w:sz w:val="24"/>
          <w:szCs w:val="24"/>
        </w:rPr>
        <w:t>项）、改善型（</w:t>
      </w:r>
      <w:r>
        <w:rPr>
          <w:rFonts w:ascii="宋体" w:hAnsi="宋体" w:cs="宋体"/>
          <w:sz w:val="24"/>
          <w:szCs w:val="24"/>
        </w:rPr>
        <w:t>17</w:t>
      </w:r>
      <w:r>
        <w:rPr>
          <w:rFonts w:hint="eastAsia" w:ascii="宋体" w:hAnsi="宋体" w:cs="宋体"/>
          <w:sz w:val="24"/>
          <w:szCs w:val="24"/>
        </w:rPr>
        <w:t>项）、舒适型（</w:t>
      </w:r>
      <w:r>
        <w:rPr>
          <w:rFonts w:ascii="宋体" w:hAnsi="宋体" w:cs="宋体"/>
          <w:sz w:val="24"/>
          <w:szCs w:val="24"/>
        </w:rPr>
        <w:t>22</w:t>
      </w:r>
      <w:r>
        <w:rPr>
          <w:rFonts w:hint="eastAsia" w:ascii="宋体" w:hAnsi="宋体" w:cs="宋体"/>
          <w:sz w:val="24"/>
          <w:szCs w:val="24"/>
        </w:rPr>
        <w:t>项）三类，基本型内容以满足老年人基本生活需求、安全和生活便利需要为主；改善型内容基于基本型的内容增加，目的为满足老年人改善型生活需求，以丰富居家服务供给、提升生活品质为主；舒适型内容基于改善型的内容增加，旨在利用信息辅助智能化技术，最大程度为老年人生活提供便利，为老年人的安全提供保障。</w:t>
      </w:r>
    </w:p>
    <w:p>
      <w:pPr>
        <w:pStyle w:val="104"/>
        <w:autoSpaceDE w:val="0"/>
        <w:autoSpaceDN w:val="0"/>
        <w:adjustRightInd w:val="0"/>
        <w:spacing w:before="156" w:beforeLines="50" w:after="156" w:afterLines="50" w:line="240" w:lineRule="auto"/>
        <w:ind w:firstLine="0" w:firstLineChars="0"/>
        <w:jc w:val="center"/>
        <w:rPr>
          <w:rFonts w:ascii="黑体" w:hAnsi="黑体" w:eastAsia="黑体" w:cs="黑体"/>
          <w:kern w:val="44"/>
          <w:sz w:val="28"/>
          <w:szCs w:val="28"/>
        </w:rPr>
      </w:pPr>
    </w:p>
    <w:p>
      <w:pPr>
        <w:pStyle w:val="104"/>
        <w:autoSpaceDE w:val="0"/>
        <w:autoSpaceDN w:val="0"/>
        <w:adjustRightInd w:val="0"/>
        <w:spacing w:before="156" w:beforeLines="50" w:after="156" w:afterLines="50" w:line="240" w:lineRule="auto"/>
        <w:ind w:firstLine="0" w:firstLineChars="0"/>
        <w:jc w:val="center"/>
        <w:rPr>
          <w:rFonts w:ascii="黑体" w:hAnsi="黑体" w:eastAsia="黑体" w:cs="黑体"/>
          <w:kern w:val="44"/>
          <w:sz w:val="28"/>
          <w:szCs w:val="28"/>
        </w:rPr>
      </w:pPr>
      <w:r>
        <w:rPr>
          <w:rFonts w:hint="eastAsia" w:ascii="黑体" w:hAnsi="黑体" w:eastAsia="黑体" w:cs="黑体"/>
          <w:kern w:val="44"/>
          <w:sz w:val="28"/>
          <w:szCs w:val="28"/>
        </w:rPr>
        <w:t>附表1</w:t>
      </w:r>
      <w:r>
        <w:rPr>
          <w:rFonts w:ascii="黑体" w:hAnsi="黑体" w:eastAsia="黑体" w:cs="黑体"/>
          <w:kern w:val="44"/>
          <w:sz w:val="28"/>
          <w:szCs w:val="28"/>
        </w:rPr>
        <w:t xml:space="preserve"> </w:t>
      </w:r>
      <w:r>
        <w:rPr>
          <w:rFonts w:hint="eastAsia" w:ascii="黑体" w:hAnsi="黑体" w:eastAsia="黑体" w:cs="黑体"/>
          <w:kern w:val="44"/>
          <w:sz w:val="28"/>
          <w:szCs w:val="28"/>
        </w:rPr>
        <w:t>适老化住宅和小区建设推荐性分级（基本型）</w:t>
      </w:r>
    </w:p>
    <w:tbl>
      <w:tblPr>
        <w:tblStyle w:val="45"/>
        <w:tblW w:w="8931" w:type="dxa"/>
        <w:tblInd w:w="-289" w:type="dxa"/>
        <w:tblLayout w:type="autofit"/>
        <w:tblCellMar>
          <w:top w:w="0" w:type="dxa"/>
          <w:left w:w="108" w:type="dxa"/>
          <w:bottom w:w="0" w:type="dxa"/>
          <w:right w:w="108" w:type="dxa"/>
        </w:tblCellMar>
      </w:tblPr>
      <w:tblGrid>
        <w:gridCol w:w="710"/>
        <w:gridCol w:w="850"/>
        <w:gridCol w:w="1559"/>
        <w:gridCol w:w="3969"/>
        <w:gridCol w:w="1843"/>
      </w:tblGrid>
      <w:tr>
        <w:tblPrEx>
          <w:tblCellMar>
            <w:top w:w="0" w:type="dxa"/>
            <w:left w:w="108" w:type="dxa"/>
            <w:bottom w:w="0" w:type="dxa"/>
            <w:right w:w="108" w:type="dxa"/>
          </w:tblCellMar>
        </w:tblPrEx>
        <w:trPr>
          <w:trHeight w:val="375" w:hRule="atLeast"/>
          <w:tblHeader/>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序号</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类别</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项目名称</w:t>
            </w:r>
          </w:p>
        </w:tc>
        <w:tc>
          <w:tcPr>
            <w:tcW w:w="396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具体内容</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指南条款</w:t>
            </w:r>
          </w:p>
        </w:tc>
      </w:tr>
      <w:tr>
        <w:tblPrEx>
          <w:tblCellMar>
            <w:top w:w="0" w:type="dxa"/>
            <w:left w:w="108" w:type="dxa"/>
            <w:bottom w:w="0" w:type="dxa"/>
            <w:right w:w="108" w:type="dxa"/>
          </w:tblCellMar>
        </w:tblPrEx>
        <w:trPr>
          <w:trHeight w:val="108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室外</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无障碍</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应满足《建筑与市政工程无障碍通用规范》GB 55019、《无障碍设计规范》GB 50763的要求。</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w:t>
            </w:r>
          </w:p>
        </w:tc>
      </w:tr>
      <w:tr>
        <w:tblPrEx>
          <w:tblCellMar>
            <w:top w:w="0" w:type="dxa"/>
            <w:left w:w="108" w:type="dxa"/>
            <w:bottom w:w="0" w:type="dxa"/>
            <w:right w:w="108" w:type="dxa"/>
          </w:tblCellMar>
        </w:tblPrEx>
        <w:trPr>
          <w:trHeight w:val="81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地面</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防滑处理</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在卫生间、厨房、卧室等区域，铺设防滑砖或者防滑地胶，提高安全性。</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5.1.1</w:t>
            </w:r>
          </w:p>
        </w:tc>
      </w:tr>
      <w:tr>
        <w:tblPrEx>
          <w:tblCellMar>
            <w:top w:w="0" w:type="dxa"/>
            <w:left w:w="108" w:type="dxa"/>
            <w:bottom w:w="0" w:type="dxa"/>
            <w:right w:w="108" w:type="dxa"/>
          </w:tblCellMar>
        </w:tblPrEx>
        <w:trPr>
          <w:trHeight w:val="81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高差处理</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卫生间、厨房、封闭阳台、入户门等出入口高差处，通过找坡消除高差</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5.1.3、5.1.4、5.1.5、5.2.2</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4</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入户空间</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鞋凳扶手</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入户空间增设换鞋凳并加设竖向扶手</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5.2.1、5.2.9</w:t>
            </w:r>
          </w:p>
        </w:tc>
      </w:tr>
      <w:tr>
        <w:tblPrEx>
          <w:tblCellMar>
            <w:top w:w="0" w:type="dxa"/>
            <w:left w:w="108" w:type="dxa"/>
            <w:bottom w:w="0" w:type="dxa"/>
            <w:right w:w="108" w:type="dxa"/>
          </w:tblCellMar>
        </w:tblPrEx>
        <w:trPr>
          <w:trHeight w:val="37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5</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入户门</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入户门设猫眼</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5.2.4</w:t>
            </w:r>
          </w:p>
        </w:tc>
      </w:tr>
      <w:tr>
        <w:tblPrEx>
          <w:tblCellMar>
            <w:top w:w="0" w:type="dxa"/>
            <w:left w:w="108" w:type="dxa"/>
            <w:bottom w:w="0" w:type="dxa"/>
            <w:right w:w="108" w:type="dxa"/>
          </w:tblCellMar>
        </w:tblPrEx>
        <w:trPr>
          <w:trHeight w:val="37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6</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安装无线声光门铃</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5.2.7</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7</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卧室</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防护床</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若卧室已配置床位，床边护栏设置</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5.5.3</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8</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厨房</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报警设备</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厨房设置燃气、烟雾、积水等报警设备</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5.6.11</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9</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灶台</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炉灶配置防干烧、自动断火功能</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5.6.9</w:t>
            </w:r>
          </w:p>
        </w:tc>
      </w:tr>
      <w:tr>
        <w:tblPrEx>
          <w:tblCellMar>
            <w:top w:w="0" w:type="dxa"/>
            <w:left w:w="108" w:type="dxa"/>
            <w:bottom w:w="0" w:type="dxa"/>
            <w:right w:w="108" w:type="dxa"/>
          </w:tblCellMar>
        </w:tblPrEx>
        <w:trPr>
          <w:trHeight w:val="37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卫生间</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蹲便器设置</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卫生间设适老化坐便器</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5.7.2</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11</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安装扶手</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卫生间安装L型扶手，洗浴区安装横向扶手</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5.7.2、5.7.4</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12</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折叠浴凳</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淋浴区放置安全、稳固、防滑的折叠浴凳</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5.7.1</w:t>
            </w:r>
          </w:p>
        </w:tc>
      </w:tr>
      <w:tr>
        <w:tblPrEx>
          <w:tblCellMar>
            <w:top w:w="0" w:type="dxa"/>
            <w:left w:w="108" w:type="dxa"/>
            <w:bottom w:w="0" w:type="dxa"/>
            <w:right w:w="108" w:type="dxa"/>
          </w:tblCellMar>
        </w:tblPrEx>
        <w:trPr>
          <w:trHeight w:val="81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信息辅助智能化</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应急求助</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起居厅、卧室、卫生淋浴间设应急求助按钮</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7</w:t>
            </w:r>
            <w:r>
              <w:rPr>
                <w:rFonts w:ascii="仿宋" w:hAnsi="仿宋" w:eastAsia="仿宋" w:cs="宋体"/>
                <w:kern w:val="0"/>
                <w:sz w:val="22"/>
                <w:szCs w:val="22"/>
              </w:rPr>
              <w:t>.1.1</w:t>
            </w:r>
          </w:p>
        </w:tc>
      </w:tr>
    </w:tbl>
    <w:p>
      <w:pPr>
        <w:widowControl/>
        <w:rPr>
          <w:rFonts w:ascii="仿宋" w:hAnsi="仿宋" w:eastAsia="仿宋" w:cs="宋体"/>
          <w:kern w:val="0"/>
          <w:sz w:val="22"/>
          <w:szCs w:val="22"/>
        </w:rPr>
      </w:pPr>
      <w:r>
        <w:rPr>
          <w:rFonts w:hint="eastAsia" w:ascii="仿宋" w:hAnsi="仿宋" w:eastAsia="仿宋" w:cs="宋体"/>
          <w:kern w:val="0"/>
          <w:sz w:val="22"/>
          <w:szCs w:val="22"/>
        </w:rPr>
        <w:t>注：适老化住宅小区应按照《武汉市人民政府关于加快推进养老服务高质量发展的实施意见（武政规【2021】6号）》的要求配建养老服务用房。</w:t>
      </w:r>
    </w:p>
    <w:p>
      <w:pPr>
        <w:widowControl/>
        <w:jc w:val="left"/>
        <w:rPr>
          <w:rFonts w:ascii="黑体" w:hAnsi="黑体" w:eastAsia="黑体" w:cs="黑体"/>
          <w:b/>
          <w:bCs/>
          <w:kern w:val="44"/>
          <w:sz w:val="32"/>
          <w:szCs w:val="32"/>
        </w:rPr>
      </w:pPr>
    </w:p>
    <w:p>
      <w:pPr>
        <w:pStyle w:val="104"/>
        <w:autoSpaceDE w:val="0"/>
        <w:autoSpaceDN w:val="0"/>
        <w:adjustRightInd w:val="0"/>
        <w:spacing w:before="156" w:beforeLines="50" w:after="156" w:afterLines="50" w:line="240" w:lineRule="auto"/>
        <w:ind w:firstLine="0" w:firstLineChars="0"/>
        <w:jc w:val="center"/>
        <w:rPr>
          <w:rFonts w:ascii="黑体" w:hAnsi="黑体" w:eastAsia="黑体" w:cs="黑体"/>
          <w:kern w:val="44"/>
          <w:sz w:val="28"/>
          <w:szCs w:val="28"/>
        </w:rPr>
      </w:pPr>
      <w:r>
        <w:rPr>
          <w:rFonts w:hint="eastAsia" w:ascii="黑体" w:hAnsi="黑体" w:eastAsia="黑体" w:cs="黑体"/>
          <w:kern w:val="44"/>
          <w:sz w:val="28"/>
          <w:szCs w:val="28"/>
        </w:rPr>
        <w:t>附表</w:t>
      </w:r>
      <w:r>
        <w:rPr>
          <w:rFonts w:ascii="黑体" w:hAnsi="黑体" w:eastAsia="黑体" w:cs="黑体"/>
          <w:kern w:val="44"/>
          <w:sz w:val="28"/>
          <w:szCs w:val="28"/>
        </w:rPr>
        <w:t xml:space="preserve">2 </w:t>
      </w:r>
      <w:r>
        <w:rPr>
          <w:rFonts w:hint="eastAsia" w:ascii="黑体" w:hAnsi="黑体" w:eastAsia="黑体" w:cs="黑体"/>
          <w:kern w:val="44"/>
          <w:sz w:val="28"/>
          <w:szCs w:val="28"/>
        </w:rPr>
        <w:t>适老化住宅和小区建设推荐性分级（改善型）</w:t>
      </w:r>
    </w:p>
    <w:tbl>
      <w:tblPr>
        <w:tblStyle w:val="45"/>
        <w:tblW w:w="8931" w:type="dxa"/>
        <w:tblInd w:w="-289" w:type="dxa"/>
        <w:tblLayout w:type="autofit"/>
        <w:tblCellMar>
          <w:top w:w="0" w:type="dxa"/>
          <w:left w:w="108" w:type="dxa"/>
          <w:bottom w:w="0" w:type="dxa"/>
          <w:right w:w="108" w:type="dxa"/>
        </w:tblCellMar>
      </w:tblPr>
      <w:tblGrid>
        <w:gridCol w:w="710"/>
        <w:gridCol w:w="850"/>
        <w:gridCol w:w="1559"/>
        <w:gridCol w:w="3969"/>
        <w:gridCol w:w="1843"/>
      </w:tblGrid>
      <w:tr>
        <w:tblPrEx>
          <w:tblCellMar>
            <w:top w:w="0" w:type="dxa"/>
            <w:left w:w="108" w:type="dxa"/>
            <w:bottom w:w="0" w:type="dxa"/>
            <w:right w:w="108" w:type="dxa"/>
          </w:tblCellMar>
        </w:tblPrEx>
        <w:trPr>
          <w:trHeight w:val="375" w:hRule="atLeast"/>
          <w:tblHeader/>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序号</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类别</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项目名称</w:t>
            </w:r>
          </w:p>
        </w:tc>
        <w:tc>
          <w:tcPr>
            <w:tcW w:w="396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具体内容</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指南条款</w:t>
            </w:r>
          </w:p>
        </w:tc>
      </w:tr>
      <w:tr>
        <w:tblPrEx>
          <w:tblCellMar>
            <w:top w:w="0" w:type="dxa"/>
            <w:left w:w="108" w:type="dxa"/>
            <w:bottom w:w="0" w:type="dxa"/>
            <w:right w:w="108" w:type="dxa"/>
          </w:tblCellMar>
        </w:tblPrEx>
        <w:trPr>
          <w:trHeight w:val="108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室外</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无障碍</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应满足《建筑与市政工程无障碍通用规范》GB 55019、《无障碍设计规范》GB 50763的要求。</w:t>
            </w:r>
          </w:p>
        </w:tc>
        <w:tc>
          <w:tcPr>
            <w:tcW w:w="1843"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w:t>
            </w:r>
          </w:p>
        </w:tc>
      </w:tr>
      <w:tr>
        <w:tblPrEx>
          <w:tblCellMar>
            <w:top w:w="0" w:type="dxa"/>
            <w:left w:w="108" w:type="dxa"/>
            <w:bottom w:w="0" w:type="dxa"/>
            <w:right w:w="108" w:type="dxa"/>
          </w:tblCellMar>
        </w:tblPrEx>
        <w:trPr>
          <w:trHeight w:val="81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2</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地面</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防滑处理</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在卫生间、厨房、卧室等区域，铺设防滑砖或者防滑地胶，提高安全性。</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5.1.1</w:t>
            </w:r>
          </w:p>
        </w:tc>
      </w:tr>
      <w:tr>
        <w:tblPrEx>
          <w:tblCellMar>
            <w:top w:w="0" w:type="dxa"/>
            <w:left w:w="108" w:type="dxa"/>
            <w:bottom w:w="0" w:type="dxa"/>
            <w:right w:w="108" w:type="dxa"/>
          </w:tblCellMar>
        </w:tblPrEx>
        <w:trPr>
          <w:trHeight w:val="81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3</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高差处理</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卫生间、厨房、封闭阳台、入户门等出入口高差处，通过找坡消除高差</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5.1.3、5.1.4、5.1.5、5.2.2</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4</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入户空间</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鞋凳扶手</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入户空间增设换鞋凳并加设竖向扶手</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5.2.1、5.2.9</w:t>
            </w:r>
          </w:p>
        </w:tc>
      </w:tr>
      <w:tr>
        <w:tblPrEx>
          <w:tblCellMar>
            <w:top w:w="0" w:type="dxa"/>
            <w:left w:w="108" w:type="dxa"/>
            <w:bottom w:w="0" w:type="dxa"/>
            <w:right w:w="108" w:type="dxa"/>
          </w:tblCellMar>
        </w:tblPrEx>
        <w:trPr>
          <w:trHeight w:val="37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5</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入户门</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入户门设猫眼</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5.2.4</w:t>
            </w:r>
          </w:p>
        </w:tc>
      </w:tr>
      <w:tr>
        <w:tblPrEx>
          <w:tblCellMar>
            <w:top w:w="0" w:type="dxa"/>
            <w:left w:w="108" w:type="dxa"/>
            <w:bottom w:w="0" w:type="dxa"/>
            <w:right w:w="108" w:type="dxa"/>
          </w:tblCellMar>
        </w:tblPrEx>
        <w:trPr>
          <w:trHeight w:val="37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6</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安装无线声光门铃</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5.2.7</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7</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入户门设置智能门锁设置，门锁具有未关报警功能</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5.2.6</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8</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卧室</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护理床</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设置护理床，并设置离床报警功能</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5.5.1、5.5.3</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9</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厨房</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报警设备</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厨房设置燃气、烟雾、积水等报警设备</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5.6.11</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10</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灶台</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炉灶配置防干烧、自动断火功能</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5.6.9</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11</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水龙头</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设置手柄式等操作方便的水龙头</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5.6.7</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12</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卫生间</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智能马桶</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卫生间设简单操作带冲洗功能智能适老化坐便器</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5.7.</w:t>
            </w:r>
            <w:r>
              <w:rPr>
                <w:rFonts w:ascii="仿宋" w:hAnsi="仿宋" w:eastAsia="仿宋" w:cs="宋体"/>
                <w:kern w:val="0"/>
                <w:sz w:val="22"/>
                <w:szCs w:val="22"/>
              </w:rPr>
              <w:t>8</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13</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安装扶手</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卫生间安装L型扶手，洗浴区安装横向扶手</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5.7.2、5.7.4</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14</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折叠浴凳</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淋浴区放置安全、稳固、防滑的折叠浴凳</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5.7.1</w:t>
            </w:r>
          </w:p>
        </w:tc>
      </w:tr>
      <w:tr>
        <w:tblPrEx>
          <w:tblCellMar>
            <w:top w:w="0" w:type="dxa"/>
            <w:left w:w="108" w:type="dxa"/>
            <w:bottom w:w="0" w:type="dxa"/>
            <w:right w:w="108" w:type="dxa"/>
          </w:tblCellMar>
        </w:tblPrEx>
        <w:trPr>
          <w:trHeight w:val="37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15</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水龙头</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设置单控冷热水混水龙头</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5.7.3</w:t>
            </w:r>
          </w:p>
        </w:tc>
      </w:tr>
      <w:tr>
        <w:tblPrEx>
          <w:tblCellMar>
            <w:top w:w="0" w:type="dxa"/>
            <w:left w:w="108" w:type="dxa"/>
            <w:bottom w:w="0" w:type="dxa"/>
            <w:right w:w="108" w:type="dxa"/>
          </w:tblCellMar>
        </w:tblPrEx>
        <w:trPr>
          <w:trHeight w:val="37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16</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灯源</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设置两处灯源</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5.7.7</w:t>
            </w:r>
          </w:p>
        </w:tc>
      </w:tr>
      <w:tr>
        <w:tblPrEx>
          <w:tblCellMar>
            <w:top w:w="0" w:type="dxa"/>
            <w:left w:w="108" w:type="dxa"/>
            <w:bottom w:w="0" w:type="dxa"/>
            <w:right w:w="108" w:type="dxa"/>
          </w:tblCellMar>
        </w:tblPrEx>
        <w:trPr>
          <w:trHeight w:val="81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bookmarkStart w:id="45" w:name="_Hlk150079170"/>
            <w:r>
              <w:rPr>
                <w:rFonts w:ascii="仿宋" w:hAnsi="仿宋" w:eastAsia="仿宋" w:cs="宋体"/>
                <w:kern w:val="0"/>
                <w:sz w:val="22"/>
                <w:szCs w:val="22"/>
              </w:rPr>
              <w:t>17</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信息辅助智能化</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应急求助</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起居厅、卧室、卫生淋浴间设应急求助按钮</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7</w:t>
            </w:r>
            <w:r>
              <w:rPr>
                <w:rFonts w:ascii="仿宋" w:hAnsi="仿宋" w:eastAsia="仿宋" w:cs="宋体"/>
                <w:kern w:val="0"/>
                <w:sz w:val="22"/>
                <w:szCs w:val="22"/>
              </w:rPr>
              <w:t>.1.1</w:t>
            </w:r>
          </w:p>
        </w:tc>
      </w:tr>
      <w:bookmarkEnd w:id="45"/>
    </w:tbl>
    <w:p>
      <w:pPr>
        <w:widowControl/>
        <w:rPr>
          <w:rFonts w:ascii="仿宋" w:hAnsi="仿宋" w:eastAsia="仿宋" w:cs="宋体"/>
          <w:kern w:val="0"/>
          <w:sz w:val="22"/>
          <w:szCs w:val="22"/>
        </w:rPr>
      </w:pPr>
      <w:r>
        <w:rPr>
          <w:rFonts w:hint="eastAsia" w:ascii="仿宋" w:hAnsi="仿宋" w:eastAsia="仿宋" w:cs="宋体"/>
          <w:kern w:val="0"/>
          <w:sz w:val="22"/>
          <w:szCs w:val="22"/>
        </w:rPr>
        <w:t>注：适老化住宅小区应按照《武汉市人民政府关于加快推进养老服务高质量发展的实施意见（武政规【2021】6号）》的要求配建养老服务用房。</w:t>
      </w:r>
    </w:p>
    <w:p>
      <w:pPr>
        <w:widowControl/>
        <w:jc w:val="left"/>
        <w:rPr>
          <w:rFonts w:ascii="黑体" w:hAnsi="黑体" w:eastAsia="黑体" w:cs="黑体"/>
          <w:b/>
          <w:bCs/>
          <w:kern w:val="44"/>
          <w:sz w:val="32"/>
          <w:szCs w:val="32"/>
        </w:rPr>
      </w:pPr>
    </w:p>
    <w:p>
      <w:pPr>
        <w:pStyle w:val="104"/>
        <w:autoSpaceDE w:val="0"/>
        <w:autoSpaceDN w:val="0"/>
        <w:adjustRightInd w:val="0"/>
        <w:spacing w:before="156" w:beforeLines="50" w:after="93" w:afterLines="30" w:line="240" w:lineRule="auto"/>
        <w:ind w:firstLine="0" w:firstLineChars="0"/>
        <w:jc w:val="center"/>
        <w:rPr>
          <w:rFonts w:ascii="黑体" w:hAnsi="黑体" w:eastAsia="黑体" w:cs="黑体"/>
          <w:kern w:val="44"/>
          <w:sz w:val="28"/>
          <w:szCs w:val="28"/>
        </w:rPr>
      </w:pPr>
    </w:p>
    <w:p>
      <w:pPr>
        <w:pStyle w:val="104"/>
        <w:autoSpaceDE w:val="0"/>
        <w:autoSpaceDN w:val="0"/>
        <w:adjustRightInd w:val="0"/>
        <w:spacing w:before="156" w:beforeLines="50" w:after="93" w:afterLines="30" w:line="240" w:lineRule="auto"/>
        <w:ind w:firstLine="0" w:firstLineChars="0"/>
        <w:jc w:val="center"/>
        <w:rPr>
          <w:rFonts w:ascii="黑体" w:hAnsi="黑体" w:eastAsia="黑体" w:cs="黑体"/>
          <w:kern w:val="44"/>
          <w:sz w:val="28"/>
          <w:szCs w:val="28"/>
        </w:rPr>
      </w:pPr>
      <w:r>
        <w:rPr>
          <w:rFonts w:hint="eastAsia" w:ascii="黑体" w:hAnsi="黑体" w:eastAsia="黑体" w:cs="黑体"/>
          <w:kern w:val="44"/>
          <w:sz w:val="28"/>
          <w:szCs w:val="28"/>
        </w:rPr>
        <w:t>附表</w:t>
      </w:r>
      <w:r>
        <w:rPr>
          <w:rFonts w:ascii="黑体" w:hAnsi="黑体" w:eastAsia="黑体" w:cs="黑体"/>
          <w:kern w:val="44"/>
          <w:sz w:val="28"/>
          <w:szCs w:val="28"/>
        </w:rPr>
        <w:t xml:space="preserve">3 </w:t>
      </w:r>
      <w:r>
        <w:rPr>
          <w:rFonts w:hint="eastAsia" w:ascii="黑体" w:hAnsi="黑体" w:eastAsia="黑体" w:cs="黑体"/>
          <w:kern w:val="44"/>
          <w:sz w:val="28"/>
          <w:szCs w:val="28"/>
        </w:rPr>
        <w:t>适老化住宅和小区建设推荐性分级（舒适型）</w:t>
      </w:r>
    </w:p>
    <w:tbl>
      <w:tblPr>
        <w:tblStyle w:val="45"/>
        <w:tblW w:w="8931" w:type="dxa"/>
        <w:tblInd w:w="-289" w:type="dxa"/>
        <w:tblLayout w:type="autofit"/>
        <w:tblCellMar>
          <w:top w:w="0" w:type="dxa"/>
          <w:left w:w="108" w:type="dxa"/>
          <w:bottom w:w="0" w:type="dxa"/>
          <w:right w:w="108" w:type="dxa"/>
        </w:tblCellMar>
      </w:tblPr>
      <w:tblGrid>
        <w:gridCol w:w="710"/>
        <w:gridCol w:w="850"/>
        <w:gridCol w:w="1559"/>
        <w:gridCol w:w="3969"/>
        <w:gridCol w:w="1843"/>
      </w:tblGrid>
      <w:tr>
        <w:tblPrEx>
          <w:tblCellMar>
            <w:top w:w="0" w:type="dxa"/>
            <w:left w:w="108" w:type="dxa"/>
            <w:bottom w:w="0" w:type="dxa"/>
            <w:right w:w="108" w:type="dxa"/>
          </w:tblCellMar>
        </w:tblPrEx>
        <w:trPr>
          <w:trHeight w:val="375" w:hRule="atLeast"/>
          <w:tblHeader/>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序号</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类别</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项目名称</w:t>
            </w:r>
          </w:p>
        </w:tc>
        <w:tc>
          <w:tcPr>
            <w:tcW w:w="396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具体内容</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指南条款</w:t>
            </w:r>
          </w:p>
        </w:tc>
      </w:tr>
      <w:tr>
        <w:tblPrEx>
          <w:tblCellMar>
            <w:top w:w="0" w:type="dxa"/>
            <w:left w:w="108" w:type="dxa"/>
            <w:bottom w:w="0" w:type="dxa"/>
            <w:right w:w="108" w:type="dxa"/>
          </w:tblCellMar>
        </w:tblPrEx>
        <w:trPr>
          <w:trHeight w:val="108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室外</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无障碍</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应满足《建筑与市政工程无障碍通用规范》GB 55019、《无障碍设计规范》GB 50763的要求。</w:t>
            </w:r>
          </w:p>
        </w:tc>
        <w:tc>
          <w:tcPr>
            <w:tcW w:w="1843"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w:t>
            </w:r>
          </w:p>
        </w:tc>
      </w:tr>
      <w:tr>
        <w:tblPrEx>
          <w:tblCellMar>
            <w:top w:w="0" w:type="dxa"/>
            <w:left w:w="108" w:type="dxa"/>
            <w:bottom w:w="0" w:type="dxa"/>
            <w:right w:w="108" w:type="dxa"/>
          </w:tblCellMar>
        </w:tblPrEx>
        <w:trPr>
          <w:trHeight w:val="81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2</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地面</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防滑处理</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在卫生间、厨房、卧室等区域，铺设防滑砖或者防滑地胶，提高安全性。</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5.1.1</w:t>
            </w:r>
          </w:p>
        </w:tc>
      </w:tr>
      <w:tr>
        <w:tblPrEx>
          <w:tblCellMar>
            <w:top w:w="0" w:type="dxa"/>
            <w:left w:w="108" w:type="dxa"/>
            <w:bottom w:w="0" w:type="dxa"/>
            <w:right w:w="108" w:type="dxa"/>
          </w:tblCellMar>
        </w:tblPrEx>
        <w:trPr>
          <w:trHeight w:val="81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3</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高差处理</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卫生间、厨房、封闭阳台、入户门等出入口高差处，通过找坡消除高差</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5.1.3、5.1.4、5.1.5、5.2.2</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4</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入户空间</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鞋凳扶手</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入户空间增设换鞋凳并加设竖向扶手</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5.2.1、5.2.9</w:t>
            </w:r>
          </w:p>
        </w:tc>
      </w:tr>
      <w:tr>
        <w:tblPrEx>
          <w:tblCellMar>
            <w:top w:w="0" w:type="dxa"/>
            <w:left w:w="108" w:type="dxa"/>
            <w:bottom w:w="0" w:type="dxa"/>
            <w:right w:w="108" w:type="dxa"/>
          </w:tblCellMar>
        </w:tblPrEx>
        <w:trPr>
          <w:trHeight w:val="37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5</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入户门</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入户门设猫眼</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5.2.4</w:t>
            </w:r>
          </w:p>
        </w:tc>
      </w:tr>
      <w:tr>
        <w:tblPrEx>
          <w:tblCellMar>
            <w:top w:w="0" w:type="dxa"/>
            <w:left w:w="108" w:type="dxa"/>
            <w:bottom w:w="0" w:type="dxa"/>
            <w:right w:w="108" w:type="dxa"/>
          </w:tblCellMar>
        </w:tblPrEx>
        <w:trPr>
          <w:trHeight w:val="37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6</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安装无线声光门铃</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5.2.7</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7</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入户门设置智能门锁设置，门锁具有未关报警功能</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5.2.6</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8</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起居厅</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沙发扶手</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起居厅沙发设置助起扶手或设置电动助起沙发</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5.3.4</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9</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卧室</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护理床</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设置护理床，并设置离床报警功能</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5.5.1、5.5.3</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10</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厨房</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报警设备</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厨房设置燃气、烟雾、积水等报警设备</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5.6.11</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11</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灶台</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炉灶配置防干烧、自动断火功能</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5.6.9</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12</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水龙头</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设置手柄式等操作方便的水龙头</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5.6.7</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13</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卫生间</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智能马桶</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卫生间设简单操作带冲洗功能智能适老化坐便器</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5.7.</w:t>
            </w:r>
            <w:r>
              <w:rPr>
                <w:rFonts w:ascii="仿宋" w:hAnsi="仿宋" w:eastAsia="仿宋" w:cs="宋体"/>
                <w:kern w:val="0"/>
                <w:sz w:val="22"/>
                <w:szCs w:val="22"/>
              </w:rPr>
              <w:t>8</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14</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安装扶手</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卫生间安装L型扶手，洗浴区安装横向扶手</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5.7.2、5.7.4</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15</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折叠浴凳</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淋浴区放置安全、稳固、防滑的折叠浴凳</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5.7.1</w:t>
            </w:r>
          </w:p>
        </w:tc>
      </w:tr>
      <w:tr>
        <w:tblPrEx>
          <w:tblCellMar>
            <w:top w:w="0" w:type="dxa"/>
            <w:left w:w="108" w:type="dxa"/>
            <w:bottom w:w="0" w:type="dxa"/>
            <w:right w:w="108" w:type="dxa"/>
          </w:tblCellMar>
        </w:tblPrEx>
        <w:trPr>
          <w:trHeight w:val="37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16</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水龙头</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设置单控冷热水混水龙头</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5.7.3</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17</w:t>
            </w: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灯源</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设置两处灯源</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5.7.7</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18</w:t>
            </w:r>
          </w:p>
        </w:tc>
        <w:tc>
          <w:tcPr>
            <w:tcW w:w="85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信息辅助智能化</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应急求助</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起居厅、卧室、卫生淋浴间设急求助按钮、活动场地与停车位视频监控及呼叫系统</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7</w:t>
            </w:r>
            <w:r>
              <w:rPr>
                <w:rFonts w:ascii="仿宋" w:hAnsi="仿宋" w:eastAsia="仿宋" w:cs="宋体"/>
                <w:kern w:val="0"/>
                <w:sz w:val="22"/>
                <w:szCs w:val="22"/>
              </w:rPr>
              <w:t>.1.1</w:t>
            </w:r>
            <w:r>
              <w:rPr>
                <w:rFonts w:hint="eastAsia" w:ascii="仿宋" w:hAnsi="仿宋" w:eastAsia="仿宋" w:cs="宋体"/>
                <w:kern w:val="0"/>
                <w:sz w:val="22"/>
                <w:szCs w:val="22"/>
              </w:rPr>
              <w:t>、7</w:t>
            </w:r>
            <w:r>
              <w:rPr>
                <w:rFonts w:ascii="仿宋" w:hAnsi="仿宋" w:eastAsia="仿宋" w:cs="宋体"/>
                <w:kern w:val="0"/>
                <w:sz w:val="22"/>
                <w:szCs w:val="22"/>
              </w:rPr>
              <w:t>.1.2</w:t>
            </w:r>
            <w:r>
              <w:rPr>
                <w:rFonts w:hint="eastAsia" w:ascii="仿宋" w:hAnsi="仿宋" w:eastAsia="仿宋" w:cs="宋体"/>
                <w:kern w:val="0"/>
                <w:sz w:val="22"/>
                <w:szCs w:val="22"/>
              </w:rPr>
              <w:t>、7</w:t>
            </w:r>
            <w:r>
              <w:rPr>
                <w:rFonts w:ascii="仿宋" w:hAnsi="仿宋" w:eastAsia="仿宋" w:cs="宋体"/>
                <w:kern w:val="0"/>
                <w:sz w:val="22"/>
                <w:szCs w:val="22"/>
              </w:rPr>
              <w:t>.1.3</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w:t>
            </w:r>
            <w:r>
              <w:rPr>
                <w:rFonts w:ascii="仿宋" w:hAnsi="仿宋" w:eastAsia="仿宋" w:cs="宋体"/>
                <w:kern w:val="0"/>
                <w:sz w:val="22"/>
                <w:szCs w:val="22"/>
              </w:rPr>
              <w:t>9</w:t>
            </w: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家居安防系统</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可联网的智能门锁、无线探测报警设施</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7</w:t>
            </w:r>
            <w:r>
              <w:rPr>
                <w:rFonts w:ascii="仿宋" w:hAnsi="仿宋" w:eastAsia="仿宋" w:cs="宋体"/>
                <w:kern w:val="0"/>
                <w:sz w:val="22"/>
                <w:szCs w:val="22"/>
              </w:rPr>
              <w:t>.2.1</w:t>
            </w:r>
          </w:p>
        </w:tc>
      </w:tr>
      <w:tr>
        <w:tblPrEx>
          <w:tblCellMar>
            <w:top w:w="0" w:type="dxa"/>
            <w:left w:w="108" w:type="dxa"/>
            <w:bottom w:w="0" w:type="dxa"/>
            <w:right w:w="108" w:type="dxa"/>
          </w:tblCellMar>
        </w:tblPrEx>
        <w:trPr>
          <w:trHeight w:val="54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20</w:t>
            </w:r>
          </w:p>
        </w:tc>
        <w:tc>
          <w:tcPr>
            <w:tcW w:w="850"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家居控制系统</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语音控制系统、环境监测系统</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7.2.</w:t>
            </w:r>
            <w:r>
              <w:rPr>
                <w:rFonts w:ascii="仿宋" w:hAnsi="仿宋" w:eastAsia="仿宋" w:cs="宋体"/>
                <w:kern w:val="0"/>
                <w:sz w:val="22"/>
                <w:szCs w:val="22"/>
              </w:rPr>
              <w:t>2</w:t>
            </w:r>
          </w:p>
        </w:tc>
      </w:tr>
      <w:tr>
        <w:tblPrEx>
          <w:tblCellMar>
            <w:top w:w="0" w:type="dxa"/>
            <w:left w:w="108" w:type="dxa"/>
            <w:bottom w:w="0" w:type="dxa"/>
            <w:right w:w="108" w:type="dxa"/>
          </w:tblCellMar>
        </w:tblPrEx>
        <w:trPr>
          <w:trHeight w:val="81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21</w:t>
            </w:r>
          </w:p>
        </w:tc>
        <w:tc>
          <w:tcPr>
            <w:tcW w:w="850" w:type="dxa"/>
            <w:vMerge w:val="continue"/>
            <w:tcBorders>
              <w:left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家居电力监测系统</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监测用电设备故障</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7.2.</w:t>
            </w:r>
            <w:r>
              <w:rPr>
                <w:rFonts w:ascii="仿宋" w:hAnsi="仿宋" w:eastAsia="仿宋" w:cs="宋体"/>
                <w:kern w:val="0"/>
                <w:sz w:val="22"/>
                <w:szCs w:val="22"/>
              </w:rPr>
              <w:t>3</w:t>
            </w:r>
          </w:p>
        </w:tc>
      </w:tr>
      <w:tr>
        <w:tblPrEx>
          <w:tblCellMar>
            <w:top w:w="0" w:type="dxa"/>
            <w:left w:w="108" w:type="dxa"/>
            <w:bottom w:w="0" w:type="dxa"/>
            <w:right w:w="108" w:type="dxa"/>
          </w:tblCellMar>
        </w:tblPrEx>
        <w:trPr>
          <w:trHeight w:val="81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w:t>
            </w:r>
            <w:r>
              <w:rPr>
                <w:rFonts w:ascii="仿宋" w:hAnsi="仿宋" w:eastAsia="仿宋" w:cs="宋体"/>
                <w:kern w:val="0"/>
                <w:sz w:val="22"/>
                <w:szCs w:val="22"/>
              </w:rPr>
              <w:t>2</w:t>
            </w:r>
          </w:p>
        </w:tc>
        <w:tc>
          <w:tcPr>
            <w:tcW w:w="850"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家居健康监测系统</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生理指标监测与分析、远程就医</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7</w:t>
            </w:r>
            <w:r>
              <w:rPr>
                <w:rFonts w:ascii="仿宋" w:hAnsi="仿宋" w:eastAsia="仿宋" w:cs="宋体"/>
                <w:kern w:val="0"/>
                <w:sz w:val="22"/>
                <w:szCs w:val="22"/>
              </w:rPr>
              <w:t>.2.4</w:t>
            </w:r>
          </w:p>
        </w:tc>
      </w:tr>
    </w:tbl>
    <w:p>
      <w:pPr>
        <w:widowControl/>
        <w:rPr>
          <w:rFonts w:ascii="仿宋" w:hAnsi="仿宋" w:eastAsia="仿宋" w:cs="宋体"/>
          <w:kern w:val="0"/>
          <w:sz w:val="22"/>
          <w:szCs w:val="22"/>
        </w:rPr>
      </w:pPr>
      <w:r>
        <w:rPr>
          <w:rFonts w:hint="eastAsia" w:ascii="仿宋" w:hAnsi="仿宋" w:eastAsia="仿宋" w:cs="宋体"/>
          <w:kern w:val="0"/>
          <w:sz w:val="22"/>
          <w:szCs w:val="22"/>
        </w:rPr>
        <w:t>注：适老化住宅小区应按照《武汉市人民政府关于加快推进养老服务高质量发展的实施意见（武政规【2021】6号）》的要求配建养老服务用房。</w:t>
      </w:r>
    </w:p>
    <w:p>
      <w:pPr>
        <w:widowControl/>
        <w:jc w:val="left"/>
        <w:rPr>
          <w:rFonts w:ascii="黑体" w:hAnsi="黑体" w:eastAsia="黑体" w:cs="黑体"/>
          <w:b/>
          <w:bCs/>
          <w:kern w:val="44"/>
          <w:sz w:val="32"/>
          <w:szCs w:val="32"/>
        </w:rPr>
      </w:pPr>
    </w:p>
    <w:p>
      <w:pPr>
        <w:widowControl/>
        <w:jc w:val="left"/>
        <w:rPr>
          <w:rFonts w:ascii="黑体" w:hAnsi="黑体" w:eastAsia="黑体" w:cs="黑体"/>
          <w:b/>
          <w:bCs/>
          <w:kern w:val="44"/>
          <w:sz w:val="32"/>
          <w:szCs w:val="32"/>
        </w:rPr>
      </w:pPr>
      <w:r>
        <w:rPr>
          <w:rFonts w:ascii="黑体" w:hAnsi="黑体" w:eastAsia="黑体" w:cs="黑体"/>
          <w:b/>
          <w:bCs/>
          <w:kern w:val="44"/>
          <w:sz w:val="32"/>
          <w:szCs w:val="32"/>
        </w:rPr>
        <w:br w:type="page"/>
      </w:r>
    </w:p>
    <w:p>
      <w:pPr>
        <w:keepNext/>
        <w:keepLines/>
        <w:spacing w:before="187" w:beforeLines="60" w:after="187" w:afterLines="60" w:line="380" w:lineRule="exact"/>
        <w:jc w:val="center"/>
        <w:outlineLvl w:val="0"/>
        <w:rPr>
          <w:rFonts w:ascii="黑体" w:hAnsi="黑体" w:eastAsia="黑体" w:cs="黑体"/>
          <w:b/>
          <w:bCs/>
          <w:kern w:val="44"/>
          <w:sz w:val="32"/>
          <w:szCs w:val="32"/>
        </w:rPr>
      </w:pPr>
      <w:bookmarkStart w:id="46" w:name="_Toc151217824"/>
      <w:r>
        <w:rPr>
          <w:rFonts w:ascii="黑体" w:hAnsi="黑体" w:eastAsia="黑体" w:cs="黑体"/>
          <w:b/>
          <w:bCs/>
          <w:kern w:val="44"/>
          <w:sz w:val="32"/>
          <w:szCs w:val="32"/>
        </w:rPr>
        <w:t>引用标准名录</w:t>
      </w:r>
      <w:bookmarkEnd w:id="46"/>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GB 50034 建筑照明设计标准</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G</w:t>
      </w:r>
      <w:r>
        <w:rPr>
          <w:rFonts w:cs="黑体" w:asciiTheme="minorEastAsia" w:hAnsiTheme="minorEastAsia" w:eastAsiaTheme="minorEastAsia"/>
          <w:kern w:val="44"/>
          <w:sz w:val="28"/>
          <w:szCs w:val="28"/>
        </w:rPr>
        <w:t xml:space="preserve">B 50037 </w:t>
      </w:r>
      <w:r>
        <w:rPr>
          <w:rFonts w:hint="eastAsia" w:cs="黑体" w:asciiTheme="minorEastAsia" w:hAnsiTheme="minorEastAsia" w:eastAsiaTheme="minorEastAsia"/>
          <w:kern w:val="44"/>
          <w:sz w:val="28"/>
          <w:szCs w:val="28"/>
        </w:rPr>
        <w:t>建筑地面设计规范</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GB 50180 城市居住区规划设计标准</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GB 50222 建筑内部装修设计防火规范</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GB 50325 民用建筑工程室内环境污染控制标准</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GB 50352 民用建筑设计统一标准</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GB 50368 住宅建筑规范</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GB 50437 城镇老年人设施规划规范</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GB 50763 无障碍设计规范</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G</w:t>
      </w:r>
      <w:r>
        <w:rPr>
          <w:rFonts w:cs="黑体" w:asciiTheme="minorEastAsia" w:hAnsiTheme="minorEastAsia" w:eastAsiaTheme="minorEastAsia"/>
          <w:kern w:val="44"/>
          <w:sz w:val="28"/>
          <w:szCs w:val="28"/>
        </w:rPr>
        <w:t xml:space="preserve">B 55019 </w:t>
      </w:r>
      <w:r>
        <w:rPr>
          <w:rFonts w:hint="eastAsia" w:cs="黑体" w:asciiTheme="minorEastAsia" w:hAnsiTheme="minorEastAsia" w:eastAsiaTheme="minorEastAsia"/>
          <w:kern w:val="44"/>
          <w:sz w:val="28"/>
          <w:szCs w:val="28"/>
        </w:rPr>
        <w:t>建筑与市政工程无障碍通用规范</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GB/T 11977 住宅卫生间功能及尺寸系列</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GB/T 13095 整体浴室</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GB/T 33168</w:t>
      </w:r>
      <w:r>
        <w:rPr>
          <w:rFonts w:cs="黑体" w:asciiTheme="minorEastAsia" w:hAnsiTheme="minorEastAsia" w:eastAsiaTheme="minorEastAsia"/>
          <w:kern w:val="44"/>
          <w:sz w:val="28"/>
          <w:szCs w:val="28"/>
        </w:rPr>
        <w:t xml:space="preserve"> </w:t>
      </w:r>
      <w:r>
        <w:rPr>
          <w:rFonts w:hint="eastAsia" w:cs="黑体" w:asciiTheme="minorEastAsia" w:hAnsiTheme="minorEastAsia" w:eastAsiaTheme="minorEastAsia"/>
          <w:kern w:val="44"/>
          <w:sz w:val="28"/>
          <w:szCs w:val="28"/>
        </w:rPr>
        <w:t>社区老年人日间照料中心服务基本要求</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GB/T 33169</w:t>
      </w:r>
      <w:r>
        <w:rPr>
          <w:rFonts w:cs="黑体" w:asciiTheme="minorEastAsia" w:hAnsiTheme="minorEastAsia" w:eastAsiaTheme="minorEastAsia"/>
          <w:kern w:val="44"/>
          <w:sz w:val="28"/>
          <w:szCs w:val="28"/>
        </w:rPr>
        <w:t xml:space="preserve"> </w:t>
      </w:r>
      <w:r>
        <w:rPr>
          <w:rFonts w:hint="eastAsia" w:cs="黑体" w:asciiTheme="minorEastAsia" w:hAnsiTheme="minorEastAsia" w:eastAsiaTheme="minorEastAsia"/>
          <w:kern w:val="44"/>
          <w:sz w:val="28"/>
          <w:szCs w:val="28"/>
        </w:rPr>
        <w:t>社区老年人日间照料中心设施设备配置</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GB 24977 卫浴家具</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JGJ 62 旅馆建筑设计规范</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JG/T 183 住宅整体卫浴间</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J</w:t>
      </w:r>
      <w:r>
        <w:rPr>
          <w:rFonts w:cs="黑体" w:asciiTheme="minorEastAsia" w:hAnsiTheme="minorEastAsia" w:eastAsiaTheme="minorEastAsia"/>
          <w:kern w:val="44"/>
          <w:sz w:val="28"/>
          <w:szCs w:val="28"/>
        </w:rPr>
        <w:t xml:space="preserve">GJ/T 331 </w:t>
      </w:r>
      <w:r>
        <w:rPr>
          <w:rFonts w:hint="eastAsia" w:cs="黑体" w:asciiTheme="minorEastAsia" w:hAnsiTheme="minorEastAsia" w:eastAsiaTheme="minorEastAsia"/>
          <w:kern w:val="44"/>
          <w:sz w:val="28"/>
          <w:szCs w:val="28"/>
        </w:rPr>
        <w:t>建筑地面工程防滑技术规程</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JG/T 427 住宅卫浴五金配件通用技术要求</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JGJ 450 老年人照料设施建筑设计标准</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JGJ/T 467 装配式整体卫生间应用技术标准</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建标143</w:t>
      </w:r>
      <w:r>
        <w:rPr>
          <w:rFonts w:cs="黑体" w:asciiTheme="minorEastAsia" w:hAnsiTheme="minorEastAsia" w:eastAsiaTheme="minorEastAsia"/>
          <w:kern w:val="44"/>
          <w:sz w:val="28"/>
          <w:szCs w:val="28"/>
        </w:rPr>
        <w:t xml:space="preserve"> </w:t>
      </w:r>
      <w:r>
        <w:rPr>
          <w:rFonts w:hint="eastAsia" w:cs="黑体" w:asciiTheme="minorEastAsia" w:hAnsiTheme="minorEastAsia" w:eastAsiaTheme="minorEastAsia"/>
          <w:kern w:val="44"/>
          <w:sz w:val="28"/>
          <w:szCs w:val="28"/>
        </w:rPr>
        <w:t>社区老年人日间照料中心建设标准</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武政规〔2021〕6号 市人民政府关于加快推进养老服务高质量发展的实施意见</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武政规〔2018〕1号 市人民政府关于印发武汉市推进“互联网+居家养老”新模式实施方案的通知</w:t>
      </w:r>
    </w:p>
    <w:p>
      <w:pPr>
        <w:autoSpaceDE w:val="0"/>
        <w:autoSpaceDN w:val="0"/>
        <w:adjustRightInd w:val="0"/>
        <w:spacing w:line="400" w:lineRule="exact"/>
        <w:rPr>
          <w:rFonts w:cs="黑体" w:asciiTheme="minorEastAsia" w:hAnsiTheme="minorEastAsia" w:eastAsiaTheme="minorEastAsia"/>
          <w:kern w:val="44"/>
          <w:sz w:val="28"/>
          <w:szCs w:val="28"/>
        </w:rPr>
      </w:pPr>
      <w:r>
        <w:rPr>
          <w:rFonts w:hint="eastAsia" w:cs="黑体" w:asciiTheme="minorEastAsia" w:hAnsiTheme="minorEastAsia" w:eastAsiaTheme="minorEastAsia"/>
          <w:kern w:val="44"/>
          <w:sz w:val="28"/>
          <w:szCs w:val="28"/>
        </w:rPr>
        <w:t>武政规〔2017〕34号 市人民政府关于提升养老服务供给水平加快发展养老服务业的实施意见</w:t>
      </w: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MS Mincho">
    <w:altName w:val="Yu Gothic UI"/>
    <w:panose1 w:val="02020609040205080304"/>
    <w:charset w:val="80"/>
    <w:family w:val="modern"/>
    <w:pitch w:val="default"/>
    <w:sig w:usb0="00000000" w:usb1="00000000" w:usb2="08000012" w:usb3="00000000" w:csb0="0002009F" w:csb1="00000000"/>
  </w:font>
  <w:font w:name="华文新魏">
    <w:panose1 w:val="02010800040101010101"/>
    <w:charset w:val="86"/>
    <w:family w:val="auto"/>
    <w:pitch w:val="default"/>
    <w:sig w:usb0="00000001" w:usb1="080F0000" w:usb2="0000000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楷体">
    <w:panose1 w:val="02010609060101010101"/>
    <w:charset w:val="86"/>
    <w:family w:val="modern"/>
    <w:pitch w:val="default"/>
    <w:sig w:usb0="800002BF" w:usb1="38CF7CFA" w:usb2="00000016" w:usb3="00000000" w:csb0="00040001" w:csb1="00000000"/>
  </w:font>
  <w:font w:name="方正隶变简体">
    <w:altName w:val="宋体"/>
    <w:panose1 w:val="00000000000000000000"/>
    <w:charset w:val="86"/>
    <w:family w:val="auto"/>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MingLiU">
    <w:altName w:val="PMingLiU-ExtB"/>
    <w:panose1 w:val="02010609000101010101"/>
    <w:charset w:val="88"/>
    <w:family w:val="modern"/>
    <w:pitch w:val="default"/>
    <w:sig w:usb0="00000000" w:usb1="00000000" w:usb2="00000016" w:usb3="00000000" w:csb0="00100001" w:csb1="00000000"/>
  </w:font>
  <w:font w:name="Gungsuh">
    <w:altName w:val="Malgun Gothic"/>
    <w:panose1 w:val="00000000000000000000"/>
    <w:charset w:val="81"/>
    <w:family w:val="roman"/>
    <w:pitch w:val="default"/>
    <w:sig w:usb0="00000000" w:usb1="00000000" w:usb2="00000030" w:usb3="00000000" w:csb0="0008009F" w:csb1="00000000"/>
  </w:font>
  <w:font w:name="Corbel">
    <w:panose1 w:val="020B0503020204020204"/>
    <w:charset w:val="00"/>
    <w:family w:val="swiss"/>
    <w:pitch w:val="default"/>
    <w:sig w:usb0="A00002EF" w:usb1="4000A44B" w:usb2="00000000" w:usb3="00000000" w:csb0="2000019F" w:csb1="00000000"/>
  </w:font>
  <w:font w:name="仿宋">
    <w:panose1 w:val="02010609060101010101"/>
    <w:charset w:val="86"/>
    <w:family w:val="modern"/>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 w:name="Malgun Gothic">
    <w:panose1 w:val="020B0503020000020004"/>
    <w:charset w:val="81"/>
    <w:family w:val="auto"/>
    <w:pitch w:val="default"/>
    <w:sig w:usb0="9000002F" w:usb1="29D77CFB" w:usb2="00000012" w:usb3="00000000" w:csb0="0008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1923745"/>
    </w:sdtPr>
    <w:sdtEndPr>
      <w:rPr>
        <w:rFonts w:asciiTheme="minorEastAsia" w:hAnsiTheme="minorEastAsia" w:eastAsiaTheme="minorEastAsia"/>
        <w:sz w:val="22"/>
        <w:szCs w:val="22"/>
      </w:rPr>
    </w:sdtEndPr>
    <w:sdtContent>
      <w:p>
        <w:pPr>
          <w:pStyle w:val="28"/>
          <w:jc w:val="center"/>
          <w:rPr>
            <w:rFonts w:asciiTheme="minorEastAsia" w:hAnsiTheme="minorEastAsia" w:eastAsiaTheme="minorEastAsia"/>
            <w:sz w:val="22"/>
            <w:szCs w:val="22"/>
          </w:rPr>
        </w:pPr>
        <w:r>
          <w:rPr>
            <w:rFonts w:asciiTheme="minorEastAsia" w:hAnsiTheme="minorEastAsia" w:eastAsiaTheme="minorEastAsia"/>
            <w:sz w:val="22"/>
            <w:szCs w:val="22"/>
          </w:rPr>
          <w:fldChar w:fldCharType="begin"/>
        </w:r>
        <w:r>
          <w:rPr>
            <w:rFonts w:asciiTheme="minorEastAsia" w:hAnsiTheme="minorEastAsia" w:eastAsiaTheme="minorEastAsia"/>
            <w:sz w:val="22"/>
            <w:szCs w:val="22"/>
          </w:rPr>
          <w:instrText xml:space="preserve">PAGE   \* MERGEFORMAT</w:instrText>
        </w:r>
        <w:r>
          <w:rPr>
            <w:rFonts w:asciiTheme="minorEastAsia" w:hAnsiTheme="minorEastAsia" w:eastAsiaTheme="minorEastAsia"/>
            <w:sz w:val="22"/>
            <w:szCs w:val="22"/>
          </w:rPr>
          <w:fldChar w:fldCharType="separate"/>
        </w:r>
        <w:r>
          <w:rPr>
            <w:rFonts w:asciiTheme="minorEastAsia" w:hAnsiTheme="minorEastAsia" w:eastAsiaTheme="minorEastAsia"/>
            <w:sz w:val="22"/>
            <w:szCs w:val="22"/>
            <w:lang w:val="zh-CN"/>
          </w:rPr>
          <w:t>2</w:t>
        </w:r>
        <w:r>
          <w:rPr>
            <w:rFonts w:asciiTheme="minorEastAsia" w:hAnsiTheme="minorEastAsia" w:eastAsiaTheme="minorEastAsia"/>
            <w:sz w:val="22"/>
            <w:szCs w:val="22"/>
          </w:rPr>
          <w:fldChar w:fldCharType="end"/>
        </w:r>
      </w:p>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EE5D7E"/>
    <w:multiLevelType w:val="multilevel"/>
    <w:tmpl w:val="DFEE5D7E"/>
    <w:lvl w:ilvl="0" w:tentative="0">
      <w:start w:val="1"/>
      <w:numFmt w:val="decimal"/>
      <w:suff w:val="nothing"/>
      <w:lvlText w:val="（%1）"/>
      <w:lvlJc w:val="left"/>
      <w:pPr>
        <w:ind w:left="420" w:hanging="420"/>
      </w:pPr>
      <w:rPr>
        <w:rFonts w:hint="eastAsia" w:ascii="黑体" w:hAnsi="黑体" w:eastAsia="黑体"/>
        <w:b w:val="0"/>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E3DE8E65"/>
    <w:multiLevelType w:val="multilevel"/>
    <w:tmpl w:val="E3DE8E65"/>
    <w:lvl w:ilvl="0" w:tentative="0">
      <w:start w:val="1"/>
      <w:numFmt w:val="decimal"/>
      <w:suff w:val="nothing"/>
      <w:lvlText w:val="（%1）"/>
      <w:lvlJc w:val="left"/>
      <w:pPr>
        <w:ind w:left="420" w:hanging="420"/>
      </w:pPr>
      <w:rPr>
        <w:rFonts w:hint="eastAsia" w:ascii="黑体" w:hAnsi="黑体" w:eastAsia="黑体"/>
        <w:b w:val="0"/>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EAEFD689"/>
    <w:multiLevelType w:val="multilevel"/>
    <w:tmpl w:val="EAEFD689"/>
    <w:lvl w:ilvl="0" w:tentative="0">
      <w:start w:val="1"/>
      <w:numFmt w:val="decimal"/>
      <w:suff w:val="nothing"/>
      <w:lvlText w:val="（%1）"/>
      <w:lvlJc w:val="left"/>
      <w:pPr>
        <w:ind w:left="420" w:hanging="420"/>
      </w:pPr>
      <w:rPr>
        <w:rFonts w:hint="eastAsia" w:ascii="黑体" w:hAnsi="黑体" w:eastAsia="黑体"/>
        <w:b w:val="0"/>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06B45F2C"/>
    <w:multiLevelType w:val="multilevel"/>
    <w:tmpl w:val="06B45F2C"/>
    <w:lvl w:ilvl="0" w:tentative="0">
      <w:start w:val="1"/>
      <w:numFmt w:val="decimal"/>
      <w:lvlText w:val="%1"/>
      <w:lvlJc w:val="left"/>
      <w:pPr>
        <w:ind w:left="840" w:hanging="840"/>
      </w:pPr>
      <w:rPr>
        <w:rFonts w:hint="default"/>
        <w:b/>
      </w:rPr>
    </w:lvl>
    <w:lvl w:ilvl="1" w:tentative="0">
      <w:start w:val="0"/>
      <w:numFmt w:val="decimal"/>
      <w:lvlText w:val="%1.%2"/>
      <w:lvlJc w:val="left"/>
      <w:pPr>
        <w:ind w:left="840" w:hanging="840"/>
      </w:pPr>
      <w:rPr>
        <w:rFonts w:hint="default"/>
        <w:b/>
      </w:rPr>
    </w:lvl>
    <w:lvl w:ilvl="2" w:tentative="0">
      <w:start w:val="1"/>
      <w:numFmt w:val="decimal"/>
      <w:lvlText w:val="6.0.%3"/>
      <w:lvlJc w:val="left"/>
      <w:pPr>
        <w:ind w:left="982" w:hanging="840"/>
      </w:pPr>
      <w:rPr>
        <w:rFonts w:hint="default" w:ascii="黑体" w:hAnsi="黑体" w:eastAsia="黑体"/>
        <w:b w:val="0"/>
        <w:bCs/>
        <w:sz w:val="24"/>
        <w:szCs w:val="24"/>
      </w:rPr>
    </w:lvl>
    <w:lvl w:ilvl="3" w:tentative="0">
      <w:start w:val="1"/>
      <w:numFmt w:val="decimal"/>
      <w:lvlText w:val="%1.%2.%3.%4"/>
      <w:lvlJc w:val="left"/>
      <w:pPr>
        <w:ind w:left="840" w:hanging="84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800" w:hanging="1800"/>
      </w:pPr>
      <w:rPr>
        <w:rFonts w:hint="default"/>
        <w:b/>
      </w:rPr>
    </w:lvl>
  </w:abstractNum>
  <w:abstractNum w:abstractNumId="4">
    <w:nsid w:val="088F767A"/>
    <w:multiLevelType w:val="multilevel"/>
    <w:tmpl w:val="088F767A"/>
    <w:lvl w:ilvl="0" w:tentative="0">
      <w:start w:val="1"/>
      <w:numFmt w:val="decimal"/>
      <w:suff w:val="nothing"/>
      <w:lvlText w:val="（%1）"/>
      <w:lvlJc w:val="left"/>
      <w:pPr>
        <w:ind w:left="420" w:hanging="420"/>
      </w:pPr>
      <w:rPr>
        <w:rFonts w:hint="eastAsia" w:ascii="黑体" w:hAnsi="黑体" w:eastAsia="黑体"/>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1EB53B7C"/>
    <w:multiLevelType w:val="multilevel"/>
    <w:tmpl w:val="1EB53B7C"/>
    <w:lvl w:ilvl="0" w:tentative="0">
      <w:start w:val="1"/>
      <w:numFmt w:val="decimal"/>
      <w:pStyle w:val="164"/>
      <w:lvlText w:val="%1"/>
      <w:lvlJc w:val="left"/>
      <w:pPr>
        <w:tabs>
          <w:tab w:val="left" w:pos="3261"/>
        </w:tabs>
        <w:ind w:left="3261" w:hanging="425"/>
      </w:pPr>
      <w:rPr>
        <w:rFonts w:hint="eastAsia" w:ascii="Times New Roman" w:hAnsi="Times New Roman" w:cs="Times New Roman"/>
        <w:b/>
        <w:bCs w:val="0"/>
        <w:i w:val="0"/>
        <w:iCs w:val="0"/>
        <w:caps w:val="0"/>
        <w:smallCaps w:val="0"/>
        <w:strike w:val="0"/>
        <w:dstrike w:val="0"/>
        <w:snapToGrid w:val="0"/>
        <w:vanish w:val="0"/>
        <w:color w:val="000000"/>
        <w:spacing w:val="0"/>
        <w:w w:val="0"/>
        <w:kern w:val="0"/>
        <w:position w:val="0"/>
        <w:sz w:val="24"/>
        <w:szCs w:val="20"/>
        <w:u w:val="none"/>
        <w:vertAlign w:val="baseline"/>
      </w:rPr>
    </w:lvl>
    <w:lvl w:ilvl="1" w:tentative="0">
      <w:start w:val="0"/>
      <w:numFmt w:val="decimal"/>
      <w:pStyle w:val="165"/>
      <w:lvlText w:val="%1.%2"/>
      <w:lvlJc w:val="left"/>
      <w:pPr>
        <w:tabs>
          <w:tab w:val="left" w:pos="3828"/>
        </w:tabs>
        <w:ind w:left="3828" w:hanging="567"/>
      </w:pPr>
      <w:rPr>
        <w:rFonts w:hint="default" w:ascii="Times New Roman" w:hAnsi="Times New Roman" w:cs="Times New Roman"/>
        <w:b/>
        <w:bCs w:val="0"/>
        <w:i w:val="0"/>
        <w:iCs w:val="0"/>
        <w:caps w:val="0"/>
        <w:smallCaps w:val="0"/>
        <w:strike w:val="0"/>
        <w:dstrike w:val="0"/>
        <w:vanish w:val="0"/>
        <w:color w:val="000000"/>
        <w:spacing w:val="0"/>
        <w:kern w:val="0"/>
        <w:position w:val="0"/>
        <w:sz w:val="24"/>
        <w:szCs w:val="24"/>
        <w:u w:val="none"/>
        <w:vertAlign w:val="baseline"/>
      </w:rPr>
    </w:lvl>
    <w:lvl w:ilvl="2" w:tentative="0">
      <w:start w:val="1"/>
      <w:numFmt w:val="decimal"/>
      <w:pStyle w:val="154"/>
      <w:lvlText w:val="%1.%2.%3"/>
      <w:lvlJc w:val="left"/>
      <w:pPr>
        <w:tabs>
          <w:tab w:val="left" w:pos="709"/>
        </w:tabs>
        <w:ind w:left="142"/>
      </w:pPr>
      <w:rPr>
        <w:rFonts w:hint="default" w:ascii="Times New Roman" w:hAnsi="Times New Roman" w:cs="Times New Roman"/>
        <w:b/>
        <w:i w:val="0"/>
        <w:color w:val="auto"/>
        <w:sz w:val="24"/>
        <w:szCs w:val="24"/>
      </w:rPr>
    </w:lvl>
    <w:lvl w:ilvl="3" w:tentative="0">
      <w:start w:val="1"/>
      <w:numFmt w:val="decimal"/>
      <w:lvlText w:val="%1.%2.%3.%4"/>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6">
    <w:nsid w:val="1EC0747A"/>
    <w:multiLevelType w:val="multilevel"/>
    <w:tmpl w:val="1EC0747A"/>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lvlText w:val="%3-"/>
      <w:lvlJc w:val="left"/>
      <w:pPr>
        <w:ind w:left="360" w:hanging="360"/>
      </w:pPr>
      <w:rPr>
        <w:rFonts w:hint="default" w:ascii="Calibri" w:hAnsi="Calibri" w:eastAsia="宋体" w:cs="Times New Roman"/>
      </w:rPr>
    </w:lvl>
    <w:lvl w:ilvl="3" w:tentative="0">
      <w:start w:val="1"/>
      <w:numFmt w:val="decimal"/>
      <w:lvlText w:val="%4-"/>
      <w:lvlJc w:val="left"/>
      <w:pPr>
        <w:ind w:left="1636" w:hanging="360"/>
      </w:pPr>
      <w:rPr>
        <w:rFonts w:hint="default"/>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247C541A"/>
    <w:multiLevelType w:val="multilevel"/>
    <w:tmpl w:val="247C541A"/>
    <w:lvl w:ilvl="0" w:tentative="0">
      <w:start w:val="1"/>
      <w:numFmt w:val="decimal"/>
      <w:suff w:val="nothing"/>
      <w:lvlText w:val="（%1）"/>
      <w:lvlJc w:val="left"/>
      <w:pPr>
        <w:ind w:left="420" w:hanging="420"/>
      </w:pPr>
      <w:rPr>
        <w:rFonts w:hint="eastAsia" w:ascii="黑体" w:hAnsi="黑体" w:eastAsia="黑体"/>
        <w:b w:val="0"/>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2B5068A9"/>
    <w:multiLevelType w:val="multilevel"/>
    <w:tmpl w:val="2B5068A9"/>
    <w:lvl w:ilvl="0" w:tentative="0">
      <w:start w:val="1"/>
      <w:numFmt w:val="decimal"/>
      <w:lvlText w:val="%1"/>
      <w:lvlJc w:val="left"/>
      <w:pPr>
        <w:ind w:left="840" w:hanging="840"/>
      </w:pPr>
      <w:rPr>
        <w:rFonts w:hint="default"/>
        <w:b/>
      </w:rPr>
    </w:lvl>
    <w:lvl w:ilvl="1" w:tentative="0">
      <w:start w:val="0"/>
      <w:numFmt w:val="decimal"/>
      <w:lvlText w:val="%1.%2"/>
      <w:lvlJc w:val="left"/>
      <w:pPr>
        <w:ind w:left="840" w:hanging="840"/>
      </w:pPr>
      <w:rPr>
        <w:rFonts w:hint="default"/>
        <w:b/>
      </w:rPr>
    </w:lvl>
    <w:lvl w:ilvl="2" w:tentative="0">
      <w:start w:val="1"/>
      <w:numFmt w:val="decimal"/>
      <w:lvlText w:val="2.%2.%3"/>
      <w:lvlJc w:val="left"/>
      <w:pPr>
        <w:ind w:left="982" w:hanging="840"/>
      </w:pPr>
      <w:rPr>
        <w:rFonts w:hint="default" w:ascii="黑体" w:hAnsi="黑体" w:eastAsia="黑体"/>
        <w:b w:val="0"/>
        <w:bCs/>
        <w:sz w:val="24"/>
        <w:szCs w:val="24"/>
      </w:rPr>
    </w:lvl>
    <w:lvl w:ilvl="3" w:tentative="0">
      <w:start w:val="1"/>
      <w:numFmt w:val="decimal"/>
      <w:lvlText w:val="%1.%2.%3.%4"/>
      <w:lvlJc w:val="left"/>
      <w:pPr>
        <w:ind w:left="840" w:hanging="84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800" w:hanging="1800"/>
      </w:pPr>
      <w:rPr>
        <w:rFonts w:hint="default"/>
        <w:b/>
      </w:rPr>
    </w:lvl>
  </w:abstractNum>
  <w:abstractNum w:abstractNumId="9">
    <w:nsid w:val="2CA02FD4"/>
    <w:multiLevelType w:val="multilevel"/>
    <w:tmpl w:val="2CA02FD4"/>
    <w:lvl w:ilvl="0" w:tentative="0">
      <w:start w:val="1"/>
      <w:numFmt w:val="decimal"/>
      <w:suff w:val="nothing"/>
      <w:lvlText w:val="（%1）"/>
      <w:lvlJc w:val="left"/>
      <w:pPr>
        <w:ind w:left="420" w:hanging="420"/>
      </w:pPr>
      <w:rPr>
        <w:rFonts w:hint="eastAsia" w:ascii="黑体" w:hAnsi="黑体" w:eastAsia="黑体"/>
        <w:b w:val="0"/>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2DB11634"/>
    <w:multiLevelType w:val="multilevel"/>
    <w:tmpl w:val="2DB11634"/>
    <w:lvl w:ilvl="0" w:tentative="0">
      <w:start w:val="1"/>
      <w:numFmt w:val="decimal"/>
      <w:suff w:val="nothing"/>
      <w:lvlText w:val="（%1）"/>
      <w:lvlJc w:val="left"/>
      <w:pPr>
        <w:ind w:left="420" w:hanging="420"/>
      </w:pPr>
      <w:rPr>
        <w:rFonts w:hint="eastAsia" w:ascii="黑体" w:hAnsi="黑体" w:eastAsia="黑体"/>
        <w:b w:val="0"/>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316D683D"/>
    <w:multiLevelType w:val="multilevel"/>
    <w:tmpl w:val="316D683D"/>
    <w:lvl w:ilvl="0" w:tentative="0">
      <w:start w:val="1"/>
      <w:numFmt w:val="decimal"/>
      <w:suff w:val="nothing"/>
      <w:lvlText w:val="（%1）"/>
      <w:lvlJc w:val="left"/>
      <w:pPr>
        <w:ind w:left="420" w:hanging="420"/>
      </w:pPr>
      <w:rPr>
        <w:rFonts w:hint="eastAsia" w:ascii="黑体" w:hAnsi="黑体" w:eastAsia="黑体"/>
        <w:b w:val="0"/>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32436FD5"/>
    <w:multiLevelType w:val="multilevel"/>
    <w:tmpl w:val="32436FD5"/>
    <w:lvl w:ilvl="0" w:tentative="0">
      <w:start w:val="1"/>
      <w:numFmt w:val="decimal"/>
      <w:suff w:val="nothing"/>
      <w:lvlText w:val="（%1）"/>
      <w:lvlJc w:val="left"/>
      <w:pPr>
        <w:ind w:left="420" w:hanging="420"/>
      </w:pPr>
      <w:rPr>
        <w:rFonts w:hint="eastAsia" w:ascii="黑体" w:hAnsi="黑体" w:eastAsia="黑体"/>
        <w:b w:val="0"/>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39AE7D6F"/>
    <w:multiLevelType w:val="multilevel"/>
    <w:tmpl w:val="39AE7D6F"/>
    <w:lvl w:ilvl="0" w:tentative="0">
      <w:start w:val="1"/>
      <w:numFmt w:val="decimal"/>
      <w:suff w:val="nothing"/>
      <w:lvlText w:val="（%1）"/>
      <w:lvlJc w:val="left"/>
      <w:pPr>
        <w:ind w:left="420" w:hanging="420"/>
      </w:pPr>
      <w:rPr>
        <w:rFonts w:hint="eastAsia" w:ascii="黑体" w:hAnsi="黑体" w:eastAsia="黑体"/>
      </w:rPr>
    </w:lvl>
    <w:lvl w:ilvl="1" w:tentative="0">
      <w:start w:val="1"/>
      <w:numFmt w:val="lowerLetter"/>
      <w:lvlText w:val="%2)"/>
      <w:lvlJc w:val="left"/>
      <w:pPr>
        <w:ind w:left="420" w:hanging="420"/>
      </w:pPr>
      <w:rPr>
        <w:rFonts w:hint="eastAsia"/>
      </w:rPr>
    </w:lvl>
    <w:lvl w:ilvl="2" w:tentative="0">
      <w:start w:val="1"/>
      <w:numFmt w:val="lowerRoman"/>
      <w:lvlText w:val="%3."/>
      <w:lvlJc w:val="right"/>
      <w:pPr>
        <w:ind w:left="420" w:hanging="420"/>
      </w:pPr>
      <w:rPr>
        <w:rFonts w:hint="eastAsia"/>
      </w:rPr>
    </w:lvl>
    <w:lvl w:ilvl="3" w:tentative="0">
      <w:start w:val="1"/>
      <w:numFmt w:val="decimal"/>
      <w:lvlText w:val="%4."/>
      <w:lvlJc w:val="left"/>
      <w:pPr>
        <w:ind w:left="420" w:hanging="420"/>
      </w:pPr>
      <w:rPr>
        <w:rFonts w:hint="eastAsia"/>
      </w:rPr>
    </w:lvl>
    <w:lvl w:ilvl="4" w:tentative="0">
      <w:start w:val="1"/>
      <w:numFmt w:val="lowerLetter"/>
      <w:lvlText w:val="%5)"/>
      <w:lvlJc w:val="left"/>
      <w:pPr>
        <w:ind w:left="420" w:hanging="420"/>
      </w:pPr>
      <w:rPr>
        <w:rFonts w:hint="eastAsia"/>
      </w:rPr>
    </w:lvl>
    <w:lvl w:ilvl="5" w:tentative="0">
      <w:start w:val="1"/>
      <w:numFmt w:val="lowerRoman"/>
      <w:lvlText w:val="%6."/>
      <w:lvlJc w:val="right"/>
      <w:pPr>
        <w:ind w:left="420" w:hanging="420"/>
      </w:pPr>
      <w:rPr>
        <w:rFonts w:hint="eastAsia"/>
      </w:rPr>
    </w:lvl>
    <w:lvl w:ilvl="6" w:tentative="0">
      <w:start w:val="1"/>
      <w:numFmt w:val="decimal"/>
      <w:lvlText w:val="%7."/>
      <w:lvlJc w:val="left"/>
      <w:pPr>
        <w:ind w:left="420" w:hanging="420"/>
      </w:pPr>
      <w:rPr>
        <w:rFonts w:hint="eastAsia"/>
      </w:rPr>
    </w:lvl>
    <w:lvl w:ilvl="7" w:tentative="0">
      <w:start w:val="1"/>
      <w:numFmt w:val="lowerLetter"/>
      <w:lvlText w:val="%8)"/>
      <w:lvlJc w:val="left"/>
      <w:pPr>
        <w:ind w:left="420" w:hanging="420"/>
      </w:pPr>
      <w:rPr>
        <w:rFonts w:hint="eastAsia"/>
      </w:rPr>
    </w:lvl>
    <w:lvl w:ilvl="8" w:tentative="0">
      <w:start w:val="1"/>
      <w:numFmt w:val="lowerRoman"/>
      <w:lvlText w:val="%9."/>
      <w:lvlJc w:val="right"/>
      <w:pPr>
        <w:ind w:left="420" w:hanging="420"/>
      </w:pPr>
      <w:rPr>
        <w:rFonts w:hint="eastAsia"/>
      </w:rPr>
    </w:lvl>
  </w:abstractNum>
  <w:abstractNum w:abstractNumId="14">
    <w:nsid w:val="39C90759"/>
    <w:multiLevelType w:val="multilevel"/>
    <w:tmpl w:val="39C90759"/>
    <w:lvl w:ilvl="0" w:tentative="0">
      <w:start w:val="1"/>
      <w:numFmt w:val="decimal"/>
      <w:lvlText w:val="%1"/>
      <w:lvlJc w:val="left"/>
      <w:pPr>
        <w:ind w:left="840" w:hanging="840"/>
      </w:pPr>
      <w:rPr>
        <w:rFonts w:hint="default"/>
        <w:b/>
      </w:rPr>
    </w:lvl>
    <w:lvl w:ilvl="1" w:tentative="0">
      <w:start w:val="0"/>
      <w:numFmt w:val="decimal"/>
      <w:lvlText w:val="%1.%2"/>
      <w:lvlJc w:val="left"/>
      <w:pPr>
        <w:ind w:left="840" w:hanging="840"/>
      </w:pPr>
      <w:rPr>
        <w:rFonts w:hint="default"/>
        <w:b/>
      </w:rPr>
    </w:lvl>
    <w:lvl w:ilvl="2" w:tentative="0">
      <w:start w:val="1"/>
      <w:numFmt w:val="decimal"/>
      <w:lvlText w:val="%1.%2.%3"/>
      <w:lvlJc w:val="left"/>
      <w:pPr>
        <w:ind w:left="982" w:hanging="840"/>
      </w:pPr>
      <w:rPr>
        <w:rFonts w:hint="default" w:ascii="黑体" w:hAnsi="黑体" w:eastAsia="黑体"/>
        <w:b w:val="0"/>
        <w:bCs/>
        <w:sz w:val="24"/>
        <w:szCs w:val="24"/>
      </w:rPr>
    </w:lvl>
    <w:lvl w:ilvl="3" w:tentative="0">
      <w:start w:val="1"/>
      <w:numFmt w:val="decimal"/>
      <w:lvlText w:val="%1.%2.%3.%4"/>
      <w:lvlJc w:val="left"/>
      <w:pPr>
        <w:ind w:left="840" w:hanging="84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800" w:hanging="1800"/>
      </w:pPr>
      <w:rPr>
        <w:rFonts w:hint="default"/>
        <w:b/>
      </w:rPr>
    </w:lvl>
  </w:abstractNum>
  <w:abstractNum w:abstractNumId="15">
    <w:nsid w:val="46806F7D"/>
    <w:multiLevelType w:val="multilevel"/>
    <w:tmpl w:val="46806F7D"/>
    <w:lvl w:ilvl="0" w:tentative="0">
      <w:start w:val="1"/>
      <w:numFmt w:val="none"/>
      <w:pStyle w:val="401"/>
      <w:lvlText w:val="图"/>
      <w:lvlJc w:val="left"/>
      <w:pPr>
        <w:tabs>
          <w:tab w:val="left" w:pos="360"/>
        </w:tabs>
      </w:pPr>
      <w:rPr>
        <w:rFonts w:hint="eastAsia" w:ascii="黑体" w:eastAsia="黑体" w:cs="Times New Roman"/>
        <w:b w:val="0"/>
        <w:i w:val="0"/>
        <w:sz w:val="21"/>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6">
    <w:nsid w:val="48BF0B37"/>
    <w:multiLevelType w:val="multilevel"/>
    <w:tmpl w:val="48BF0B37"/>
    <w:lvl w:ilvl="0" w:tentative="0">
      <w:start w:val="1"/>
      <w:numFmt w:val="decimal"/>
      <w:suff w:val="nothing"/>
      <w:lvlText w:val="（%1）"/>
      <w:lvlJc w:val="left"/>
      <w:pPr>
        <w:ind w:left="420" w:hanging="420"/>
      </w:pPr>
      <w:rPr>
        <w:rFonts w:hint="eastAsia" w:ascii="黑体" w:hAnsi="黑体" w:eastAsia="黑体"/>
        <w:b w:val="0"/>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4F4259DC"/>
    <w:multiLevelType w:val="multilevel"/>
    <w:tmpl w:val="4F4259DC"/>
    <w:lvl w:ilvl="0" w:tentative="0">
      <w:start w:val="1"/>
      <w:numFmt w:val="decimal"/>
      <w:suff w:val="nothing"/>
      <w:lvlText w:val="（%1）"/>
      <w:lvlJc w:val="left"/>
      <w:pPr>
        <w:ind w:left="420" w:hanging="420"/>
      </w:pPr>
      <w:rPr>
        <w:rFonts w:hint="eastAsia" w:ascii="黑体" w:hAnsi="黑体" w:eastAsia="黑体"/>
        <w:b w:val="0"/>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
    <w:nsid w:val="555973D9"/>
    <w:multiLevelType w:val="multilevel"/>
    <w:tmpl w:val="555973D9"/>
    <w:lvl w:ilvl="0" w:tentative="0">
      <w:start w:val="1"/>
      <w:numFmt w:val="decimal"/>
      <w:suff w:val="nothing"/>
      <w:lvlText w:val="（%1）"/>
      <w:lvlJc w:val="left"/>
      <w:pPr>
        <w:ind w:left="420" w:hanging="420"/>
      </w:pPr>
      <w:rPr>
        <w:rFonts w:hint="eastAsia" w:ascii="黑体" w:hAnsi="黑体" w:eastAsia="黑体"/>
        <w:b w:val="0"/>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5E1C2716"/>
    <w:multiLevelType w:val="multilevel"/>
    <w:tmpl w:val="5E1C2716"/>
    <w:lvl w:ilvl="0" w:tentative="0">
      <w:start w:val="1"/>
      <w:numFmt w:val="decimal"/>
      <w:suff w:val="nothing"/>
      <w:lvlText w:val="（%1）"/>
      <w:lvlJc w:val="left"/>
      <w:pPr>
        <w:ind w:left="420" w:hanging="420"/>
      </w:pPr>
      <w:rPr>
        <w:rFonts w:hint="eastAsia" w:ascii="黑体" w:hAnsi="黑体" w:eastAsia="黑体"/>
        <w:b w:val="0"/>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
    <w:nsid w:val="5F644655"/>
    <w:multiLevelType w:val="multilevel"/>
    <w:tmpl w:val="5F644655"/>
    <w:lvl w:ilvl="0" w:tentative="0">
      <w:start w:val="1"/>
      <w:numFmt w:val="decimal"/>
      <w:suff w:val="nothing"/>
      <w:lvlText w:val="（%1）"/>
      <w:lvlJc w:val="left"/>
      <w:pPr>
        <w:ind w:left="420" w:hanging="420"/>
      </w:pPr>
      <w:rPr>
        <w:rFonts w:hint="eastAsia" w:ascii="黑体" w:hAns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
    <w:nsid w:val="634D3A4B"/>
    <w:multiLevelType w:val="multilevel"/>
    <w:tmpl w:val="634D3A4B"/>
    <w:lvl w:ilvl="0" w:tentative="0">
      <w:start w:val="3"/>
      <w:numFmt w:val="decimal"/>
      <w:lvlText w:val="%1"/>
      <w:lvlJc w:val="left"/>
      <w:pPr>
        <w:tabs>
          <w:tab w:val="left" w:pos="425"/>
        </w:tabs>
        <w:ind w:left="425" w:hanging="425"/>
      </w:pPr>
      <w:rPr>
        <w:rFonts w:hint="eastAsia" w:cs="Times New Roman"/>
      </w:rPr>
    </w:lvl>
    <w:lvl w:ilvl="1" w:tentative="0">
      <w:start w:val="2"/>
      <w:numFmt w:val="decimal"/>
      <w:lvlText w:val="%1.%2"/>
      <w:lvlJc w:val="left"/>
      <w:pPr>
        <w:tabs>
          <w:tab w:val="left" w:pos="992"/>
        </w:tabs>
        <w:ind w:left="992" w:hanging="567"/>
      </w:pPr>
      <w:rPr>
        <w:rFonts w:hint="eastAsia" w:cs="Times New Roman"/>
      </w:rPr>
    </w:lvl>
    <w:lvl w:ilvl="2" w:tentative="0">
      <w:start w:val="5"/>
      <w:numFmt w:val="decimal"/>
      <w:pStyle w:val="168"/>
      <w:lvlText w:val="%1.%2.%3"/>
      <w:lvlJc w:val="left"/>
      <w:pPr>
        <w:tabs>
          <w:tab w:val="left" w:pos="709"/>
        </w:tabs>
        <w:ind w:left="142"/>
      </w:pPr>
      <w:rPr>
        <w:rFonts w:hint="eastAsia" w:cs="Times New Roman"/>
        <w:bCs w:val="0"/>
        <w:i w:val="0"/>
        <w:iCs w:val="0"/>
        <w:caps w:val="0"/>
        <w:smallCaps w:val="0"/>
        <w:strike w:val="0"/>
        <w:dstrike w:val="0"/>
        <w:vanish w:val="0"/>
        <w:color w:val="000000"/>
        <w:spacing w:val="0"/>
        <w:position w:val="0"/>
        <w:u w:val="none"/>
        <w:vertAlign w:val="baseline"/>
      </w:rPr>
    </w:lvl>
    <w:lvl w:ilvl="3" w:tentative="0">
      <w:start w:val="1"/>
      <w:numFmt w:val="decimal"/>
      <w:lvlText w:val="%1.%2.%3.%4"/>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22">
    <w:nsid w:val="7456608B"/>
    <w:multiLevelType w:val="multilevel"/>
    <w:tmpl w:val="7456608B"/>
    <w:lvl w:ilvl="0" w:tentative="0">
      <w:start w:val="1"/>
      <w:numFmt w:val="decimal"/>
      <w:suff w:val="nothing"/>
      <w:lvlText w:val="（%1）"/>
      <w:lvlJc w:val="left"/>
      <w:pPr>
        <w:ind w:left="420" w:hanging="420"/>
      </w:pPr>
      <w:rPr>
        <w:rFonts w:hint="eastAsia" w:ascii="黑体" w:hAns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75453C1C"/>
    <w:multiLevelType w:val="multilevel"/>
    <w:tmpl w:val="75453C1C"/>
    <w:lvl w:ilvl="0" w:tentative="0">
      <w:start w:val="1"/>
      <w:numFmt w:val="decimal"/>
      <w:suff w:val="nothing"/>
      <w:lvlText w:val="（%1）"/>
      <w:lvlJc w:val="left"/>
      <w:pPr>
        <w:ind w:left="420" w:hanging="420"/>
      </w:pPr>
      <w:rPr>
        <w:rFonts w:hint="eastAsia" w:ascii="黑体" w:hAnsi="黑体" w:eastAsia="黑体"/>
        <w:b w:val="0"/>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78911B47"/>
    <w:multiLevelType w:val="multilevel"/>
    <w:tmpl w:val="78911B47"/>
    <w:lvl w:ilvl="0" w:tentative="0">
      <w:start w:val="1"/>
      <w:numFmt w:val="decimal"/>
      <w:suff w:val="nothing"/>
      <w:lvlText w:val="（%1）"/>
      <w:lvlJc w:val="left"/>
      <w:pPr>
        <w:ind w:left="420" w:hanging="420"/>
      </w:pPr>
      <w:rPr>
        <w:rFonts w:hint="eastAsia" w:ascii="黑体" w:hAns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8AB7BEB"/>
    <w:multiLevelType w:val="multilevel"/>
    <w:tmpl w:val="78AB7BEB"/>
    <w:lvl w:ilvl="0" w:tentative="0">
      <w:start w:val="1"/>
      <w:numFmt w:val="decimal"/>
      <w:pStyle w:val="2"/>
      <w:lvlText w:val="%1"/>
      <w:lvlJc w:val="left"/>
      <w:pPr>
        <w:ind w:left="432" w:hanging="432"/>
      </w:pPr>
      <w:rPr>
        <w:rFonts w:cs="Times New Roman"/>
      </w:rPr>
    </w:lvl>
    <w:lvl w:ilvl="1" w:tentative="0">
      <w:start w:val="1"/>
      <w:numFmt w:val="decimal"/>
      <w:pStyle w:val="3"/>
      <w:lvlText w:val="%1.%2"/>
      <w:lvlJc w:val="left"/>
      <w:pPr>
        <w:ind w:left="576" w:hanging="576"/>
      </w:pPr>
      <w:rPr>
        <w:rFonts w:cs="Times New Roman"/>
      </w:rPr>
    </w:lvl>
    <w:lvl w:ilvl="2" w:tentative="0">
      <w:start w:val="1"/>
      <w:numFmt w:val="decimal"/>
      <w:pStyle w:val="4"/>
      <w:lvlText w:val="%1.%2.%3"/>
      <w:lvlJc w:val="left"/>
      <w:pPr>
        <w:ind w:left="720" w:hanging="720"/>
      </w:pPr>
      <w:rPr>
        <w:rFonts w:cs="Times New Roman"/>
      </w:rPr>
    </w:lvl>
    <w:lvl w:ilvl="3" w:tentative="0">
      <w:start w:val="1"/>
      <w:numFmt w:val="decimal"/>
      <w:pStyle w:val="5"/>
      <w:lvlText w:val="%1.%2.%3.%4"/>
      <w:lvlJc w:val="left"/>
      <w:pPr>
        <w:ind w:left="864" w:hanging="864"/>
      </w:pPr>
      <w:rPr>
        <w:rFonts w:cs="Times New Roman"/>
      </w:rPr>
    </w:lvl>
    <w:lvl w:ilvl="4" w:tentative="0">
      <w:start w:val="1"/>
      <w:numFmt w:val="decimal"/>
      <w:pStyle w:val="6"/>
      <w:lvlText w:val="%1.%2.%3.%4.%5"/>
      <w:lvlJc w:val="left"/>
      <w:pPr>
        <w:ind w:left="1008" w:hanging="1008"/>
      </w:pPr>
      <w:rPr>
        <w:rFonts w:cs="Times New Roman"/>
      </w:rPr>
    </w:lvl>
    <w:lvl w:ilvl="5" w:tentative="0">
      <w:start w:val="1"/>
      <w:numFmt w:val="decimal"/>
      <w:pStyle w:val="7"/>
      <w:lvlText w:val="%1.%2.%3.%4.%5.%6"/>
      <w:lvlJc w:val="left"/>
      <w:pPr>
        <w:ind w:left="1152" w:hanging="1152"/>
      </w:pPr>
      <w:rPr>
        <w:rFonts w:cs="Times New Roman"/>
      </w:rPr>
    </w:lvl>
    <w:lvl w:ilvl="6" w:tentative="0">
      <w:start w:val="1"/>
      <w:numFmt w:val="decimal"/>
      <w:pStyle w:val="8"/>
      <w:lvlText w:val="%1.%2.%3.%4.%5.%6.%7"/>
      <w:lvlJc w:val="left"/>
      <w:pPr>
        <w:ind w:left="1296" w:hanging="1296"/>
      </w:pPr>
      <w:rPr>
        <w:rFonts w:cs="Times New Roman"/>
      </w:rPr>
    </w:lvl>
    <w:lvl w:ilvl="7" w:tentative="0">
      <w:start w:val="1"/>
      <w:numFmt w:val="decimal"/>
      <w:pStyle w:val="9"/>
      <w:lvlText w:val="%1.%2.%3.%4.%5.%6.%7.%8"/>
      <w:lvlJc w:val="left"/>
      <w:pPr>
        <w:ind w:left="1440" w:hanging="1440"/>
      </w:pPr>
      <w:rPr>
        <w:rFonts w:cs="Times New Roman"/>
      </w:rPr>
    </w:lvl>
    <w:lvl w:ilvl="8" w:tentative="0">
      <w:start w:val="1"/>
      <w:numFmt w:val="decimal"/>
      <w:pStyle w:val="10"/>
      <w:lvlText w:val="%1.%2.%3.%4.%5.%6.%7.%8.%9"/>
      <w:lvlJc w:val="left"/>
      <w:pPr>
        <w:ind w:left="1584" w:hanging="1584"/>
      </w:pPr>
      <w:rPr>
        <w:rFonts w:cs="Times New Roman"/>
      </w:rPr>
    </w:lvl>
  </w:abstractNum>
  <w:abstractNum w:abstractNumId="26">
    <w:nsid w:val="7A3F260C"/>
    <w:multiLevelType w:val="multilevel"/>
    <w:tmpl w:val="7A3F260C"/>
    <w:lvl w:ilvl="0" w:tentative="0">
      <w:start w:val="1"/>
      <w:numFmt w:val="decimal"/>
      <w:suff w:val="nothing"/>
      <w:lvlText w:val="（%1）"/>
      <w:lvlJc w:val="left"/>
      <w:pPr>
        <w:ind w:left="420" w:hanging="420"/>
      </w:pPr>
      <w:rPr>
        <w:rFonts w:hint="eastAsia" w:ascii="黑体" w:hAns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6250C"/>
    <w:multiLevelType w:val="multilevel"/>
    <w:tmpl w:val="7AE6250C"/>
    <w:lvl w:ilvl="0" w:tentative="0">
      <w:start w:val="1"/>
      <w:numFmt w:val="decimal"/>
      <w:suff w:val="nothing"/>
      <w:lvlText w:val="（%1）"/>
      <w:lvlJc w:val="left"/>
      <w:pPr>
        <w:ind w:left="720" w:hanging="720"/>
      </w:pPr>
      <w:rPr>
        <w:rFonts w:hint="default"/>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num w:numId="1">
    <w:abstractNumId w:val="25"/>
  </w:num>
  <w:num w:numId="2">
    <w:abstractNumId w:val="5"/>
  </w:num>
  <w:num w:numId="3">
    <w:abstractNumId w:val="21"/>
  </w:num>
  <w:num w:numId="4">
    <w:abstractNumId w:val="15"/>
  </w:num>
  <w:num w:numId="5">
    <w:abstractNumId w:val="6"/>
    <w:lvlOverride w:ilvl="0">
      <w:lvl w:ilvl="0" w:tentative="1">
        <w:start w:val="1"/>
        <w:numFmt w:val="decimal"/>
        <w:suff w:val="space"/>
        <w:lvlText w:val="%1"/>
        <w:lvlJc w:val="left"/>
        <w:pPr>
          <w:ind w:left="0" w:firstLine="0"/>
        </w:pPr>
        <w:rPr>
          <w:rFonts w:hint="eastAsia" w:ascii="黑体" w:hAnsi="黑体" w:eastAsia="黑体"/>
          <w:sz w:val="32"/>
          <w:szCs w:val="32"/>
        </w:rPr>
      </w:lvl>
    </w:lvlOverride>
    <w:lvlOverride w:ilvl="1">
      <w:lvl w:ilvl="1" w:tentative="1">
        <w:start w:val="1"/>
        <w:numFmt w:val="decimal"/>
        <w:suff w:val="space"/>
        <w:lvlText w:val="%1.%2"/>
        <w:lvlJc w:val="left"/>
        <w:pPr>
          <w:ind w:left="0" w:firstLine="0"/>
        </w:pPr>
        <w:rPr>
          <w:rFonts w:hint="eastAsia" w:ascii="黑体" w:hAnsi="黑体" w:eastAsia="黑体"/>
          <w:sz w:val="32"/>
          <w:szCs w:val="32"/>
        </w:rPr>
      </w:lvl>
    </w:lvlOverride>
    <w:lvlOverride w:ilvl="2">
      <w:lvl w:ilvl="2" w:tentative="1">
        <w:start w:val="1"/>
        <w:numFmt w:val="decimal"/>
        <w:suff w:val="space"/>
        <w:lvlText w:val="%1.%2.%3"/>
        <w:lvlJc w:val="left"/>
        <w:pPr>
          <w:ind w:left="0" w:firstLine="0"/>
        </w:pPr>
        <w:rPr>
          <w:rFonts w:hint="eastAsia" w:ascii="黑体" w:hAnsi="黑体" w:eastAsia="黑体"/>
          <w:b w:val="0"/>
          <w:bCs w:val="0"/>
        </w:rPr>
      </w:lvl>
    </w:lvlOverride>
    <w:lvlOverride w:ilvl="3">
      <w:lvl w:ilvl="3" w:tentative="1">
        <w:start w:val="1"/>
        <w:numFmt w:val="decimal"/>
        <w:lvlText w:val="%1.%2.%3.%4"/>
        <w:lvlJc w:val="left"/>
        <w:pPr>
          <w:ind w:left="1984" w:hanging="708"/>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6">
    <w:abstractNumId w:val="14"/>
  </w:num>
  <w:num w:numId="7">
    <w:abstractNumId w:val="8"/>
  </w:num>
  <w:num w:numId="8">
    <w:abstractNumId w:val="27"/>
  </w:num>
  <w:num w:numId="9">
    <w:abstractNumId w:val="20"/>
  </w:num>
  <w:num w:numId="10">
    <w:abstractNumId w:val="13"/>
  </w:num>
  <w:num w:numId="11">
    <w:abstractNumId w:val="26"/>
  </w:num>
  <w:num w:numId="12">
    <w:abstractNumId w:val="24"/>
  </w:num>
  <w:num w:numId="13">
    <w:abstractNumId w:val="22"/>
  </w:num>
  <w:num w:numId="14">
    <w:abstractNumId w:val="4"/>
  </w:num>
  <w:num w:numId="15">
    <w:abstractNumId w:val="12"/>
  </w:num>
  <w:num w:numId="16">
    <w:abstractNumId w:val="11"/>
  </w:num>
  <w:num w:numId="17">
    <w:abstractNumId w:val="9"/>
  </w:num>
  <w:num w:numId="18">
    <w:abstractNumId w:val="10"/>
  </w:num>
  <w:num w:numId="19">
    <w:abstractNumId w:val="7"/>
  </w:num>
  <w:num w:numId="20">
    <w:abstractNumId w:val="3"/>
  </w:num>
  <w:num w:numId="21">
    <w:abstractNumId w:val="19"/>
  </w:num>
  <w:num w:numId="22">
    <w:abstractNumId w:val="18"/>
  </w:num>
  <w:num w:numId="23">
    <w:abstractNumId w:val="16"/>
  </w:num>
  <w:num w:numId="24">
    <w:abstractNumId w:val="23"/>
  </w:num>
  <w:num w:numId="25">
    <w:abstractNumId w:val="17"/>
  </w:num>
  <w:num w:numId="26">
    <w:abstractNumId w:val="6"/>
    <w:lvlOverride w:ilvl="0">
      <w:lvl w:ilvl="0" w:tentative="1">
        <w:start w:val="1"/>
        <w:numFmt w:val="decimal"/>
        <w:suff w:val="space"/>
        <w:lvlText w:val="%1"/>
        <w:lvlJc w:val="left"/>
        <w:pPr>
          <w:ind w:left="0" w:firstLine="0"/>
        </w:pPr>
        <w:rPr>
          <w:rFonts w:hint="eastAsia" w:ascii="黑体" w:hAnsi="黑体" w:eastAsia="黑体"/>
          <w:sz w:val="32"/>
          <w:szCs w:val="32"/>
        </w:rPr>
      </w:lvl>
    </w:lvlOverride>
    <w:lvlOverride w:ilvl="1">
      <w:lvl w:ilvl="1" w:tentative="1">
        <w:start w:val="1"/>
        <w:numFmt w:val="decimal"/>
        <w:suff w:val="space"/>
        <w:lvlText w:val="%1.%2"/>
        <w:lvlJc w:val="left"/>
        <w:pPr>
          <w:ind w:left="0" w:firstLine="0"/>
        </w:pPr>
        <w:rPr>
          <w:rFonts w:hint="eastAsia" w:ascii="黑体" w:hAnsi="黑体" w:eastAsia="黑体"/>
          <w:sz w:val="32"/>
          <w:szCs w:val="32"/>
        </w:rPr>
      </w:lvl>
    </w:lvlOverride>
    <w:lvlOverride w:ilvl="2">
      <w:lvl w:ilvl="2" w:tentative="1">
        <w:start w:val="1"/>
        <w:numFmt w:val="decimal"/>
        <w:suff w:val="space"/>
        <w:lvlText w:val="%1.%2.%3"/>
        <w:lvlJc w:val="left"/>
        <w:pPr>
          <w:ind w:left="0" w:firstLine="0"/>
        </w:pPr>
        <w:rPr>
          <w:rFonts w:hint="eastAsia"/>
          <w:b/>
          <w:bCs/>
        </w:rPr>
      </w:lvl>
    </w:lvlOverride>
    <w:lvlOverride w:ilvl="3">
      <w:lvl w:ilvl="3" w:tentative="1">
        <w:start w:val="1"/>
        <w:numFmt w:val="decimal"/>
        <w:lvlText w:val="%1.%2.%3.%4"/>
        <w:lvlJc w:val="left"/>
        <w:pPr>
          <w:ind w:left="1984" w:hanging="708"/>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27">
    <w:abstractNumId w:val="6"/>
    <w:lvlOverride w:ilvl="0">
      <w:lvl w:ilvl="0" w:tentative="1">
        <w:start w:val="1"/>
        <w:numFmt w:val="decimal"/>
        <w:suff w:val="space"/>
        <w:lvlText w:val="%1"/>
        <w:lvlJc w:val="left"/>
        <w:pPr>
          <w:ind w:left="0" w:firstLine="0"/>
        </w:pPr>
        <w:rPr>
          <w:rFonts w:hint="eastAsia" w:ascii="黑体" w:hAnsi="黑体" w:eastAsia="黑体"/>
          <w:sz w:val="32"/>
          <w:szCs w:val="32"/>
        </w:rPr>
      </w:lvl>
    </w:lvlOverride>
    <w:lvlOverride w:ilvl="1">
      <w:lvl w:ilvl="1" w:tentative="1">
        <w:start w:val="1"/>
        <w:numFmt w:val="decimal"/>
        <w:suff w:val="space"/>
        <w:lvlText w:val="%1.%2"/>
        <w:lvlJc w:val="left"/>
        <w:pPr>
          <w:ind w:left="0" w:firstLine="0"/>
        </w:pPr>
        <w:rPr>
          <w:rFonts w:hint="eastAsia" w:ascii="黑体" w:hAnsi="黑体" w:eastAsia="黑体"/>
          <w:sz w:val="32"/>
          <w:szCs w:val="32"/>
        </w:rPr>
      </w:lvl>
    </w:lvlOverride>
    <w:lvlOverride w:ilvl="2">
      <w:lvl w:ilvl="2" w:tentative="1">
        <w:start w:val="1"/>
        <w:numFmt w:val="decimal"/>
        <w:suff w:val="space"/>
        <w:lvlText w:val="%1.%2.%3"/>
        <w:lvlJc w:val="left"/>
        <w:pPr>
          <w:ind w:left="0" w:firstLine="0"/>
        </w:pPr>
        <w:rPr>
          <w:rFonts w:hint="eastAsia" w:ascii="黑体" w:hAnsi="黑体" w:eastAsia="黑体"/>
          <w:b w:val="0"/>
          <w:bCs w:val="0"/>
        </w:rPr>
      </w:lvl>
    </w:lvlOverride>
    <w:lvlOverride w:ilvl="3">
      <w:lvl w:ilvl="3" w:tentative="1">
        <w:start w:val="1"/>
        <w:numFmt w:val="decimal"/>
        <w:lvlText w:val="%1.%2.%3.%4"/>
        <w:lvlJc w:val="left"/>
        <w:pPr>
          <w:ind w:left="1984" w:hanging="708"/>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28">
    <w:abstractNumId w:val="1"/>
  </w:num>
  <w:num w:numId="29">
    <w:abstractNumId w:val="2"/>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2ZDI1MGEwNzk2ZWVkMjMzODA4OTY5ZDFkNjE1ZTAifQ=="/>
  </w:docVars>
  <w:rsids>
    <w:rsidRoot w:val="00F85801"/>
    <w:rsid w:val="00000D58"/>
    <w:rsid w:val="00002094"/>
    <w:rsid w:val="00004E8E"/>
    <w:rsid w:val="000054EA"/>
    <w:rsid w:val="000064D9"/>
    <w:rsid w:val="00006A39"/>
    <w:rsid w:val="000073A5"/>
    <w:rsid w:val="00010763"/>
    <w:rsid w:val="00011239"/>
    <w:rsid w:val="000128DF"/>
    <w:rsid w:val="00012FAF"/>
    <w:rsid w:val="000145C7"/>
    <w:rsid w:val="00014986"/>
    <w:rsid w:val="0001517B"/>
    <w:rsid w:val="0001559B"/>
    <w:rsid w:val="000157C9"/>
    <w:rsid w:val="00015CF4"/>
    <w:rsid w:val="00017D85"/>
    <w:rsid w:val="000213B7"/>
    <w:rsid w:val="00021935"/>
    <w:rsid w:val="00024BD4"/>
    <w:rsid w:val="000253CA"/>
    <w:rsid w:val="00026453"/>
    <w:rsid w:val="000269DF"/>
    <w:rsid w:val="00027029"/>
    <w:rsid w:val="00030877"/>
    <w:rsid w:val="000323B7"/>
    <w:rsid w:val="00034A21"/>
    <w:rsid w:val="00034FC6"/>
    <w:rsid w:val="000353F9"/>
    <w:rsid w:val="00035CC9"/>
    <w:rsid w:val="0003661E"/>
    <w:rsid w:val="0004036F"/>
    <w:rsid w:val="00041173"/>
    <w:rsid w:val="000416F1"/>
    <w:rsid w:val="00042088"/>
    <w:rsid w:val="000424A8"/>
    <w:rsid w:val="00042804"/>
    <w:rsid w:val="00044B37"/>
    <w:rsid w:val="000470B2"/>
    <w:rsid w:val="00047E60"/>
    <w:rsid w:val="00050A94"/>
    <w:rsid w:val="00051004"/>
    <w:rsid w:val="00052A6C"/>
    <w:rsid w:val="00053593"/>
    <w:rsid w:val="00053A8B"/>
    <w:rsid w:val="00054630"/>
    <w:rsid w:val="00054887"/>
    <w:rsid w:val="00054F60"/>
    <w:rsid w:val="000551FF"/>
    <w:rsid w:val="00062DF5"/>
    <w:rsid w:val="00063398"/>
    <w:rsid w:val="000649FE"/>
    <w:rsid w:val="00065482"/>
    <w:rsid w:val="000655A4"/>
    <w:rsid w:val="00065DBE"/>
    <w:rsid w:val="00067E37"/>
    <w:rsid w:val="000708DD"/>
    <w:rsid w:val="0007124E"/>
    <w:rsid w:val="0007159E"/>
    <w:rsid w:val="0007256F"/>
    <w:rsid w:val="0007520C"/>
    <w:rsid w:val="0007582B"/>
    <w:rsid w:val="00077835"/>
    <w:rsid w:val="0007792A"/>
    <w:rsid w:val="0008017E"/>
    <w:rsid w:val="00080904"/>
    <w:rsid w:val="00080AA1"/>
    <w:rsid w:val="00080CDF"/>
    <w:rsid w:val="00081829"/>
    <w:rsid w:val="00081B64"/>
    <w:rsid w:val="000829A5"/>
    <w:rsid w:val="0008371A"/>
    <w:rsid w:val="00085197"/>
    <w:rsid w:val="000857A9"/>
    <w:rsid w:val="000936B1"/>
    <w:rsid w:val="000939F4"/>
    <w:rsid w:val="00093BC1"/>
    <w:rsid w:val="0009454D"/>
    <w:rsid w:val="000A0771"/>
    <w:rsid w:val="000A42CD"/>
    <w:rsid w:val="000A66AE"/>
    <w:rsid w:val="000A6991"/>
    <w:rsid w:val="000B0DD8"/>
    <w:rsid w:val="000B10C4"/>
    <w:rsid w:val="000B275E"/>
    <w:rsid w:val="000B2980"/>
    <w:rsid w:val="000B4DA0"/>
    <w:rsid w:val="000B5EFF"/>
    <w:rsid w:val="000B6674"/>
    <w:rsid w:val="000B66A2"/>
    <w:rsid w:val="000B6CD3"/>
    <w:rsid w:val="000B7DC4"/>
    <w:rsid w:val="000C0E6A"/>
    <w:rsid w:val="000C1D41"/>
    <w:rsid w:val="000C2772"/>
    <w:rsid w:val="000C5B6D"/>
    <w:rsid w:val="000C6C97"/>
    <w:rsid w:val="000C7021"/>
    <w:rsid w:val="000D34AF"/>
    <w:rsid w:val="000D3E4A"/>
    <w:rsid w:val="000D67C6"/>
    <w:rsid w:val="000D72F1"/>
    <w:rsid w:val="000D7761"/>
    <w:rsid w:val="000E12F5"/>
    <w:rsid w:val="000E1484"/>
    <w:rsid w:val="000E2B09"/>
    <w:rsid w:val="000E3ED8"/>
    <w:rsid w:val="000E4C4A"/>
    <w:rsid w:val="000E5C6A"/>
    <w:rsid w:val="000F0414"/>
    <w:rsid w:val="000F0C5B"/>
    <w:rsid w:val="000F0CBC"/>
    <w:rsid w:val="000F1186"/>
    <w:rsid w:val="000F30EF"/>
    <w:rsid w:val="000F37F5"/>
    <w:rsid w:val="000F3F02"/>
    <w:rsid w:val="000F4113"/>
    <w:rsid w:val="000F58F5"/>
    <w:rsid w:val="000F5B79"/>
    <w:rsid w:val="000F6320"/>
    <w:rsid w:val="000F76B7"/>
    <w:rsid w:val="000F7D41"/>
    <w:rsid w:val="0010007E"/>
    <w:rsid w:val="001000BA"/>
    <w:rsid w:val="00101477"/>
    <w:rsid w:val="00101553"/>
    <w:rsid w:val="00101AAD"/>
    <w:rsid w:val="0010258D"/>
    <w:rsid w:val="00102D78"/>
    <w:rsid w:val="0010301F"/>
    <w:rsid w:val="00103273"/>
    <w:rsid w:val="0010350E"/>
    <w:rsid w:val="0010369B"/>
    <w:rsid w:val="001038BC"/>
    <w:rsid w:val="00103D9C"/>
    <w:rsid w:val="001041C9"/>
    <w:rsid w:val="00114FF1"/>
    <w:rsid w:val="00115F2A"/>
    <w:rsid w:val="00115F80"/>
    <w:rsid w:val="00116C7C"/>
    <w:rsid w:val="00117499"/>
    <w:rsid w:val="00120218"/>
    <w:rsid w:val="001202EC"/>
    <w:rsid w:val="00120489"/>
    <w:rsid w:val="001226A8"/>
    <w:rsid w:val="0012274D"/>
    <w:rsid w:val="00124CED"/>
    <w:rsid w:val="00125A5D"/>
    <w:rsid w:val="00126938"/>
    <w:rsid w:val="001321C8"/>
    <w:rsid w:val="00133C9A"/>
    <w:rsid w:val="001377A7"/>
    <w:rsid w:val="00137E29"/>
    <w:rsid w:val="0014044D"/>
    <w:rsid w:val="00140545"/>
    <w:rsid w:val="00142224"/>
    <w:rsid w:val="00142DA2"/>
    <w:rsid w:val="00143429"/>
    <w:rsid w:val="00143DE9"/>
    <w:rsid w:val="0014742F"/>
    <w:rsid w:val="00147FBF"/>
    <w:rsid w:val="0015503F"/>
    <w:rsid w:val="00155163"/>
    <w:rsid w:val="00157750"/>
    <w:rsid w:val="00157E25"/>
    <w:rsid w:val="00161968"/>
    <w:rsid w:val="00161D66"/>
    <w:rsid w:val="00164BC2"/>
    <w:rsid w:val="00167CF9"/>
    <w:rsid w:val="001714A0"/>
    <w:rsid w:val="00171EAD"/>
    <w:rsid w:val="00172B1A"/>
    <w:rsid w:val="001735C2"/>
    <w:rsid w:val="0017404E"/>
    <w:rsid w:val="00174B55"/>
    <w:rsid w:val="0017539D"/>
    <w:rsid w:val="00176049"/>
    <w:rsid w:val="00176249"/>
    <w:rsid w:val="00176969"/>
    <w:rsid w:val="00176FDF"/>
    <w:rsid w:val="00177DC5"/>
    <w:rsid w:val="00181A64"/>
    <w:rsid w:val="001820AB"/>
    <w:rsid w:val="00182FB5"/>
    <w:rsid w:val="00183A7A"/>
    <w:rsid w:val="00184C21"/>
    <w:rsid w:val="001854ED"/>
    <w:rsid w:val="001909EE"/>
    <w:rsid w:val="00190AA0"/>
    <w:rsid w:val="001914FC"/>
    <w:rsid w:val="00191DC6"/>
    <w:rsid w:val="00193D74"/>
    <w:rsid w:val="00195664"/>
    <w:rsid w:val="00195A1D"/>
    <w:rsid w:val="00196269"/>
    <w:rsid w:val="00197270"/>
    <w:rsid w:val="00197DCB"/>
    <w:rsid w:val="001A0F91"/>
    <w:rsid w:val="001A32FD"/>
    <w:rsid w:val="001A3BD7"/>
    <w:rsid w:val="001A4678"/>
    <w:rsid w:val="001A5784"/>
    <w:rsid w:val="001A73EB"/>
    <w:rsid w:val="001A7B4C"/>
    <w:rsid w:val="001A7DBD"/>
    <w:rsid w:val="001B09DE"/>
    <w:rsid w:val="001B4237"/>
    <w:rsid w:val="001B4728"/>
    <w:rsid w:val="001B4B22"/>
    <w:rsid w:val="001C0880"/>
    <w:rsid w:val="001C1D8E"/>
    <w:rsid w:val="001C3521"/>
    <w:rsid w:val="001C3C5A"/>
    <w:rsid w:val="001C601A"/>
    <w:rsid w:val="001C6C11"/>
    <w:rsid w:val="001D09DE"/>
    <w:rsid w:val="001D1153"/>
    <w:rsid w:val="001D1B72"/>
    <w:rsid w:val="001D707A"/>
    <w:rsid w:val="001E20F9"/>
    <w:rsid w:val="001E3211"/>
    <w:rsid w:val="001E40A7"/>
    <w:rsid w:val="001E4650"/>
    <w:rsid w:val="001E48D3"/>
    <w:rsid w:val="001F123A"/>
    <w:rsid w:val="001F35A5"/>
    <w:rsid w:val="001F38AA"/>
    <w:rsid w:val="001F39D8"/>
    <w:rsid w:val="001F4EE6"/>
    <w:rsid w:val="001F577C"/>
    <w:rsid w:val="001F66DF"/>
    <w:rsid w:val="00203CA3"/>
    <w:rsid w:val="0020402F"/>
    <w:rsid w:val="00207293"/>
    <w:rsid w:val="002140FD"/>
    <w:rsid w:val="002157D8"/>
    <w:rsid w:val="002163C0"/>
    <w:rsid w:val="002178A7"/>
    <w:rsid w:val="00217EA9"/>
    <w:rsid w:val="002212D6"/>
    <w:rsid w:val="00221768"/>
    <w:rsid w:val="00222421"/>
    <w:rsid w:val="00223607"/>
    <w:rsid w:val="00224496"/>
    <w:rsid w:val="0022462B"/>
    <w:rsid w:val="00224988"/>
    <w:rsid w:val="00225305"/>
    <w:rsid w:val="00225BDC"/>
    <w:rsid w:val="002261BE"/>
    <w:rsid w:val="002271E3"/>
    <w:rsid w:val="00227EFE"/>
    <w:rsid w:val="0023262C"/>
    <w:rsid w:val="00233387"/>
    <w:rsid w:val="00240F92"/>
    <w:rsid w:val="00241172"/>
    <w:rsid w:val="0024125E"/>
    <w:rsid w:val="00241812"/>
    <w:rsid w:val="002419A5"/>
    <w:rsid w:val="00242085"/>
    <w:rsid w:val="00242362"/>
    <w:rsid w:val="00242C1A"/>
    <w:rsid w:val="00242EE2"/>
    <w:rsid w:val="00243E89"/>
    <w:rsid w:val="002440E4"/>
    <w:rsid w:val="00245385"/>
    <w:rsid w:val="00245A3C"/>
    <w:rsid w:val="00250121"/>
    <w:rsid w:val="002568AB"/>
    <w:rsid w:val="00256D52"/>
    <w:rsid w:val="0026168E"/>
    <w:rsid w:val="002617D8"/>
    <w:rsid w:val="00261C72"/>
    <w:rsid w:val="00261F08"/>
    <w:rsid w:val="00263DE4"/>
    <w:rsid w:val="00265707"/>
    <w:rsid w:val="00266785"/>
    <w:rsid w:val="002702F1"/>
    <w:rsid w:val="00270DD0"/>
    <w:rsid w:val="00271573"/>
    <w:rsid w:val="00271CCE"/>
    <w:rsid w:val="00272505"/>
    <w:rsid w:val="00272A3A"/>
    <w:rsid w:val="0027338C"/>
    <w:rsid w:val="002735B2"/>
    <w:rsid w:val="0027492F"/>
    <w:rsid w:val="002773E7"/>
    <w:rsid w:val="002809E0"/>
    <w:rsid w:val="00283BF3"/>
    <w:rsid w:val="00287F1B"/>
    <w:rsid w:val="00290311"/>
    <w:rsid w:val="00290524"/>
    <w:rsid w:val="00291352"/>
    <w:rsid w:val="00291565"/>
    <w:rsid w:val="00292C92"/>
    <w:rsid w:val="00294224"/>
    <w:rsid w:val="002945DB"/>
    <w:rsid w:val="00295F21"/>
    <w:rsid w:val="002972B9"/>
    <w:rsid w:val="00297921"/>
    <w:rsid w:val="00297B99"/>
    <w:rsid w:val="00297FA2"/>
    <w:rsid w:val="002A177D"/>
    <w:rsid w:val="002A2E0D"/>
    <w:rsid w:val="002A36AF"/>
    <w:rsid w:val="002A41AD"/>
    <w:rsid w:val="002A524F"/>
    <w:rsid w:val="002A6BE4"/>
    <w:rsid w:val="002A7919"/>
    <w:rsid w:val="002B084B"/>
    <w:rsid w:val="002B0BB4"/>
    <w:rsid w:val="002B1515"/>
    <w:rsid w:val="002B4B3B"/>
    <w:rsid w:val="002B799E"/>
    <w:rsid w:val="002C02F3"/>
    <w:rsid w:val="002C133A"/>
    <w:rsid w:val="002C1FC5"/>
    <w:rsid w:val="002C54F4"/>
    <w:rsid w:val="002C6A89"/>
    <w:rsid w:val="002C6BC8"/>
    <w:rsid w:val="002D0F87"/>
    <w:rsid w:val="002D11DE"/>
    <w:rsid w:val="002D1A22"/>
    <w:rsid w:val="002D2D1A"/>
    <w:rsid w:val="002D741E"/>
    <w:rsid w:val="002E0EF7"/>
    <w:rsid w:val="002E151C"/>
    <w:rsid w:val="002E19CD"/>
    <w:rsid w:val="002E2336"/>
    <w:rsid w:val="002E7C00"/>
    <w:rsid w:val="002F1B3F"/>
    <w:rsid w:val="002F2587"/>
    <w:rsid w:val="002F32D0"/>
    <w:rsid w:val="002F42E8"/>
    <w:rsid w:val="002F4FAE"/>
    <w:rsid w:val="00301B40"/>
    <w:rsid w:val="00302479"/>
    <w:rsid w:val="00304584"/>
    <w:rsid w:val="003057C9"/>
    <w:rsid w:val="00305851"/>
    <w:rsid w:val="0030639F"/>
    <w:rsid w:val="00311297"/>
    <w:rsid w:val="003139D6"/>
    <w:rsid w:val="0031554D"/>
    <w:rsid w:val="00316532"/>
    <w:rsid w:val="00317562"/>
    <w:rsid w:val="00324261"/>
    <w:rsid w:val="00324BF2"/>
    <w:rsid w:val="00325293"/>
    <w:rsid w:val="0033031B"/>
    <w:rsid w:val="00330357"/>
    <w:rsid w:val="00330A48"/>
    <w:rsid w:val="00331D55"/>
    <w:rsid w:val="003325AC"/>
    <w:rsid w:val="00333091"/>
    <w:rsid w:val="00333AC5"/>
    <w:rsid w:val="00333EDD"/>
    <w:rsid w:val="00334134"/>
    <w:rsid w:val="003353E0"/>
    <w:rsid w:val="00335F21"/>
    <w:rsid w:val="003365EE"/>
    <w:rsid w:val="00336D19"/>
    <w:rsid w:val="003406CA"/>
    <w:rsid w:val="003413F3"/>
    <w:rsid w:val="00341D92"/>
    <w:rsid w:val="00342AAB"/>
    <w:rsid w:val="003435F7"/>
    <w:rsid w:val="003438A5"/>
    <w:rsid w:val="00344873"/>
    <w:rsid w:val="003451EC"/>
    <w:rsid w:val="00345BFA"/>
    <w:rsid w:val="00346827"/>
    <w:rsid w:val="00347268"/>
    <w:rsid w:val="00350023"/>
    <w:rsid w:val="00350684"/>
    <w:rsid w:val="003512BB"/>
    <w:rsid w:val="003513CC"/>
    <w:rsid w:val="00352083"/>
    <w:rsid w:val="00353184"/>
    <w:rsid w:val="00353C66"/>
    <w:rsid w:val="00355B09"/>
    <w:rsid w:val="00355C58"/>
    <w:rsid w:val="00356E30"/>
    <w:rsid w:val="003570E7"/>
    <w:rsid w:val="003574AA"/>
    <w:rsid w:val="00361E6E"/>
    <w:rsid w:val="0036400A"/>
    <w:rsid w:val="00364465"/>
    <w:rsid w:val="0036460D"/>
    <w:rsid w:val="00364A51"/>
    <w:rsid w:val="003651CC"/>
    <w:rsid w:val="00367C61"/>
    <w:rsid w:val="00374CD9"/>
    <w:rsid w:val="00374D29"/>
    <w:rsid w:val="0038024D"/>
    <w:rsid w:val="00381964"/>
    <w:rsid w:val="0038246E"/>
    <w:rsid w:val="0038293E"/>
    <w:rsid w:val="00382A6B"/>
    <w:rsid w:val="00384154"/>
    <w:rsid w:val="00386994"/>
    <w:rsid w:val="00386A82"/>
    <w:rsid w:val="00387242"/>
    <w:rsid w:val="0039534D"/>
    <w:rsid w:val="00395AE5"/>
    <w:rsid w:val="003970F9"/>
    <w:rsid w:val="003A0A65"/>
    <w:rsid w:val="003A110D"/>
    <w:rsid w:val="003A3EB5"/>
    <w:rsid w:val="003A5218"/>
    <w:rsid w:val="003B37D1"/>
    <w:rsid w:val="003B3938"/>
    <w:rsid w:val="003B3F03"/>
    <w:rsid w:val="003B4BEB"/>
    <w:rsid w:val="003B6CD7"/>
    <w:rsid w:val="003B6E10"/>
    <w:rsid w:val="003B6E7C"/>
    <w:rsid w:val="003B7315"/>
    <w:rsid w:val="003B7B10"/>
    <w:rsid w:val="003B7EEE"/>
    <w:rsid w:val="003C045F"/>
    <w:rsid w:val="003C0A10"/>
    <w:rsid w:val="003C1701"/>
    <w:rsid w:val="003C30D0"/>
    <w:rsid w:val="003C3330"/>
    <w:rsid w:val="003C38F6"/>
    <w:rsid w:val="003C4253"/>
    <w:rsid w:val="003C4860"/>
    <w:rsid w:val="003C59D0"/>
    <w:rsid w:val="003D0D41"/>
    <w:rsid w:val="003D2102"/>
    <w:rsid w:val="003D4537"/>
    <w:rsid w:val="003D6C61"/>
    <w:rsid w:val="003D7405"/>
    <w:rsid w:val="003D7A6F"/>
    <w:rsid w:val="003D7BD5"/>
    <w:rsid w:val="003E1D7E"/>
    <w:rsid w:val="003E2DB7"/>
    <w:rsid w:val="003E4469"/>
    <w:rsid w:val="003E4C35"/>
    <w:rsid w:val="003E6258"/>
    <w:rsid w:val="003E63DE"/>
    <w:rsid w:val="003E6783"/>
    <w:rsid w:val="003E6909"/>
    <w:rsid w:val="003E6B75"/>
    <w:rsid w:val="003E72E9"/>
    <w:rsid w:val="003E76F8"/>
    <w:rsid w:val="003F10CA"/>
    <w:rsid w:val="003F1D8F"/>
    <w:rsid w:val="003F3270"/>
    <w:rsid w:val="003F357D"/>
    <w:rsid w:val="003F4929"/>
    <w:rsid w:val="003F592E"/>
    <w:rsid w:val="003F6070"/>
    <w:rsid w:val="003F6CA7"/>
    <w:rsid w:val="003F74C3"/>
    <w:rsid w:val="00401066"/>
    <w:rsid w:val="00402D58"/>
    <w:rsid w:val="00403583"/>
    <w:rsid w:val="00403AAD"/>
    <w:rsid w:val="00406477"/>
    <w:rsid w:val="0040650F"/>
    <w:rsid w:val="00407041"/>
    <w:rsid w:val="0040743B"/>
    <w:rsid w:val="00411575"/>
    <w:rsid w:val="00411CDF"/>
    <w:rsid w:val="0041315F"/>
    <w:rsid w:val="00413403"/>
    <w:rsid w:val="004135CF"/>
    <w:rsid w:val="00413A4D"/>
    <w:rsid w:val="00413F1A"/>
    <w:rsid w:val="00414EF6"/>
    <w:rsid w:val="004158C8"/>
    <w:rsid w:val="004165B8"/>
    <w:rsid w:val="0042272E"/>
    <w:rsid w:val="004232F9"/>
    <w:rsid w:val="00423ED3"/>
    <w:rsid w:val="00426233"/>
    <w:rsid w:val="0042747E"/>
    <w:rsid w:val="0042758F"/>
    <w:rsid w:val="00430AE1"/>
    <w:rsid w:val="00430E3E"/>
    <w:rsid w:val="00431FD2"/>
    <w:rsid w:val="0043213A"/>
    <w:rsid w:val="00433617"/>
    <w:rsid w:val="00433760"/>
    <w:rsid w:val="00433F0D"/>
    <w:rsid w:val="00434D68"/>
    <w:rsid w:val="004367F7"/>
    <w:rsid w:val="00436A3D"/>
    <w:rsid w:val="00437A0A"/>
    <w:rsid w:val="00437FB6"/>
    <w:rsid w:val="00441FE6"/>
    <w:rsid w:val="004424DF"/>
    <w:rsid w:val="00442818"/>
    <w:rsid w:val="00442C72"/>
    <w:rsid w:val="0044391D"/>
    <w:rsid w:val="00443C04"/>
    <w:rsid w:val="00443D63"/>
    <w:rsid w:val="004443E0"/>
    <w:rsid w:val="00446437"/>
    <w:rsid w:val="004513DD"/>
    <w:rsid w:val="00451AE6"/>
    <w:rsid w:val="00452717"/>
    <w:rsid w:val="00453560"/>
    <w:rsid w:val="0045449F"/>
    <w:rsid w:val="004567B5"/>
    <w:rsid w:val="00456967"/>
    <w:rsid w:val="00456D7C"/>
    <w:rsid w:val="0046066D"/>
    <w:rsid w:val="00463EE8"/>
    <w:rsid w:val="00464CC6"/>
    <w:rsid w:val="0046575F"/>
    <w:rsid w:val="004658C8"/>
    <w:rsid w:val="00466C95"/>
    <w:rsid w:val="00466DDE"/>
    <w:rsid w:val="00467B25"/>
    <w:rsid w:val="00470E7F"/>
    <w:rsid w:val="00470FF8"/>
    <w:rsid w:val="004726B2"/>
    <w:rsid w:val="004737B7"/>
    <w:rsid w:val="004747A0"/>
    <w:rsid w:val="004754B0"/>
    <w:rsid w:val="00476BCD"/>
    <w:rsid w:val="0048158A"/>
    <w:rsid w:val="00483153"/>
    <w:rsid w:val="00483AEA"/>
    <w:rsid w:val="00483C48"/>
    <w:rsid w:val="00483F5B"/>
    <w:rsid w:val="004851F7"/>
    <w:rsid w:val="00485C18"/>
    <w:rsid w:val="004862ED"/>
    <w:rsid w:val="0048662D"/>
    <w:rsid w:val="00486CF0"/>
    <w:rsid w:val="00486E9F"/>
    <w:rsid w:val="004901AB"/>
    <w:rsid w:val="0049076A"/>
    <w:rsid w:val="00490788"/>
    <w:rsid w:val="00490845"/>
    <w:rsid w:val="00492997"/>
    <w:rsid w:val="004A1A2C"/>
    <w:rsid w:val="004A4088"/>
    <w:rsid w:val="004A4FDE"/>
    <w:rsid w:val="004A5099"/>
    <w:rsid w:val="004A7447"/>
    <w:rsid w:val="004B0D27"/>
    <w:rsid w:val="004B1174"/>
    <w:rsid w:val="004B271B"/>
    <w:rsid w:val="004B3025"/>
    <w:rsid w:val="004B67F1"/>
    <w:rsid w:val="004C0192"/>
    <w:rsid w:val="004C05A8"/>
    <w:rsid w:val="004C20B7"/>
    <w:rsid w:val="004C238D"/>
    <w:rsid w:val="004C2D7B"/>
    <w:rsid w:val="004C3BC5"/>
    <w:rsid w:val="004C6310"/>
    <w:rsid w:val="004C7825"/>
    <w:rsid w:val="004D00F9"/>
    <w:rsid w:val="004D0EF1"/>
    <w:rsid w:val="004D135B"/>
    <w:rsid w:val="004D13C9"/>
    <w:rsid w:val="004D2516"/>
    <w:rsid w:val="004D2910"/>
    <w:rsid w:val="004D2E4B"/>
    <w:rsid w:val="004D56AE"/>
    <w:rsid w:val="004D784C"/>
    <w:rsid w:val="004D7A11"/>
    <w:rsid w:val="004E08AC"/>
    <w:rsid w:val="004E1BFC"/>
    <w:rsid w:val="004E1DE5"/>
    <w:rsid w:val="004E3E45"/>
    <w:rsid w:val="004E6EB3"/>
    <w:rsid w:val="004F1CC7"/>
    <w:rsid w:val="004F1D9D"/>
    <w:rsid w:val="004F37DD"/>
    <w:rsid w:val="004F41C2"/>
    <w:rsid w:val="004F44E6"/>
    <w:rsid w:val="004F5EE0"/>
    <w:rsid w:val="004F713D"/>
    <w:rsid w:val="004F786E"/>
    <w:rsid w:val="00500755"/>
    <w:rsid w:val="00500F30"/>
    <w:rsid w:val="00501015"/>
    <w:rsid w:val="005011F4"/>
    <w:rsid w:val="00501844"/>
    <w:rsid w:val="00501E9E"/>
    <w:rsid w:val="00503232"/>
    <w:rsid w:val="00504FAD"/>
    <w:rsid w:val="005050DF"/>
    <w:rsid w:val="005132BC"/>
    <w:rsid w:val="00513E46"/>
    <w:rsid w:val="00516870"/>
    <w:rsid w:val="00516896"/>
    <w:rsid w:val="00516EDC"/>
    <w:rsid w:val="00520ED5"/>
    <w:rsid w:val="00522E2A"/>
    <w:rsid w:val="005257F7"/>
    <w:rsid w:val="00526383"/>
    <w:rsid w:val="00530657"/>
    <w:rsid w:val="005314F8"/>
    <w:rsid w:val="00531E22"/>
    <w:rsid w:val="00532C1B"/>
    <w:rsid w:val="0053368C"/>
    <w:rsid w:val="0053714E"/>
    <w:rsid w:val="005423A3"/>
    <w:rsid w:val="00546307"/>
    <w:rsid w:val="005510D3"/>
    <w:rsid w:val="00552321"/>
    <w:rsid w:val="005563C8"/>
    <w:rsid w:val="00556DD2"/>
    <w:rsid w:val="0055754A"/>
    <w:rsid w:val="00557B1B"/>
    <w:rsid w:val="00557B81"/>
    <w:rsid w:val="00560906"/>
    <w:rsid w:val="005609BA"/>
    <w:rsid w:val="00563C99"/>
    <w:rsid w:val="0056533C"/>
    <w:rsid w:val="00565D63"/>
    <w:rsid w:val="00566AA6"/>
    <w:rsid w:val="0056782D"/>
    <w:rsid w:val="00570A55"/>
    <w:rsid w:val="005715F4"/>
    <w:rsid w:val="005718CF"/>
    <w:rsid w:val="00572051"/>
    <w:rsid w:val="00573E0E"/>
    <w:rsid w:val="00575289"/>
    <w:rsid w:val="005758BB"/>
    <w:rsid w:val="0057596A"/>
    <w:rsid w:val="00575B85"/>
    <w:rsid w:val="005760CB"/>
    <w:rsid w:val="005761E8"/>
    <w:rsid w:val="00577BCC"/>
    <w:rsid w:val="00577BD7"/>
    <w:rsid w:val="00577C38"/>
    <w:rsid w:val="005807D4"/>
    <w:rsid w:val="0058093F"/>
    <w:rsid w:val="00580BC0"/>
    <w:rsid w:val="005813FC"/>
    <w:rsid w:val="0058210F"/>
    <w:rsid w:val="0058290A"/>
    <w:rsid w:val="00582A6C"/>
    <w:rsid w:val="0058368B"/>
    <w:rsid w:val="0058415E"/>
    <w:rsid w:val="0059051B"/>
    <w:rsid w:val="00590BEF"/>
    <w:rsid w:val="00591DBB"/>
    <w:rsid w:val="0059204D"/>
    <w:rsid w:val="005941EC"/>
    <w:rsid w:val="00594C67"/>
    <w:rsid w:val="00596138"/>
    <w:rsid w:val="00596AFC"/>
    <w:rsid w:val="005A0891"/>
    <w:rsid w:val="005A1047"/>
    <w:rsid w:val="005A1508"/>
    <w:rsid w:val="005A1F2F"/>
    <w:rsid w:val="005A277B"/>
    <w:rsid w:val="005A4915"/>
    <w:rsid w:val="005A4E8F"/>
    <w:rsid w:val="005A54A4"/>
    <w:rsid w:val="005A5835"/>
    <w:rsid w:val="005A59E5"/>
    <w:rsid w:val="005A761A"/>
    <w:rsid w:val="005A7ABA"/>
    <w:rsid w:val="005A7E03"/>
    <w:rsid w:val="005B432B"/>
    <w:rsid w:val="005B491D"/>
    <w:rsid w:val="005B544C"/>
    <w:rsid w:val="005B5E7B"/>
    <w:rsid w:val="005C1F89"/>
    <w:rsid w:val="005C20E6"/>
    <w:rsid w:val="005C2C1A"/>
    <w:rsid w:val="005C332E"/>
    <w:rsid w:val="005C3E33"/>
    <w:rsid w:val="005C5355"/>
    <w:rsid w:val="005C6890"/>
    <w:rsid w:val="005C6EA8"/>
    <w:rsid w:val="005D0BA9"/>
    <w:rsid w:val="005D29B1"/>
    <w:rsid w:val="005D32BB"/>
    <w:rsid w:val="005D3CC5"/>
    <w:rsid w:val="005D5AA5"/>
    <w:rsid w:val="005D5DF7"/>
    <w:rsid w:val="005D5E76"/>
    <w:rsid w:val="005D6336"/>
    <w:rsid w:val="005E0276"/>
    <w:rsid w:val="005E1D8C"/>
    <w:rsid w:val="005E1EF5"/>
    <w:rsid w:val="005E23BB"/>
    <w:rsid w:val="005E25D6"/>
    <w:rsid w:val="005E3F23"/>
    <w:rsid w:val="005E67B2"/>
    <w:rsid w:val="005E6AF3"/>
    <w:rsid w:val="005E73D9"/>
    <w:rsid w:val="005E7B8E"/>
    <w:rsid w:val="005F186C"/>
    <w:rsid w:val="005F2ACE"/>
    <w:rsid w:val="005F4F45"/>
    <w:rsid w:val="005F7A11"/>
    <w:rsid w:val="00600E7A"/>
    <w:rsid w:val="00602164"/>
    <w:rsid w:val="0060278E"/>
    <w:rsid w:val="006028F2"/>
    <w:rsid w:val="00602E40"/>
    <w:rsid w:val="006035D3"/>
    <w:rsid w:val="006040A8"/>
    <w:rsid w:val="006049F2"/>
    <w:rsid w:val="00606957"/>
    <w:rsid w:val="0061295E"/>
    <w:rsid w:val="00614563"/>
    <w:rsid w:val="0061559F"/>
    <w:rsid w:val="00616724"/>
    <w:rsid w:val="00616F9A"/>
    <w:rsid w:val="006173B0"/>
    <w:rsid w:val="00620284"/>
    <w:rsid w:val="0062280C"/>
    <w:rsid w:val="00623CFF"/>
    <w:rsid w:val="0062460B"/>
    <w:rsid w:val="006255D4"/>
    <w:rsid w:val="006257D2"/>
    <w:rsid w:val="00626859"/>
    <w:rsid w:val="00626F3B"/>
    <w:rsid w:val="00630D8C"/>
    <w:rsid w:val="006318E5"/>
    <w:rsid w:val="00632E8F"/>
    <w:rsid w:val="0063345A"/>
    <w:rsid w:val="00633524"/>
    <w:rsid w:val="006335AB"/>
    <w:rsid w:val="00633B13"/>
    <w:rsid w:val="00636272"/>
    <w:rsid w:val="00636656"/>
    <w:rsid w:val="00637F83"/>
    <w:rsid w:val="006406A5"/>
    <w:rsid w:val="00641B3E"/>
    <w:rsid w:val="006435C7"/>
    <w:rsid w:val="0064431E"/>
    <w:rsid w:val="00647086"/>
    <w:rsid w:val="0064730E"/>
    <w:rsid w:val="00650F81"/>
    <w:rsid w:val="006516BC"/>
    <w:rsid w:val="006532C5"/>
    <w:rsid w:val="00653ABD"/>
    <w:rsid w:val="00654370"/>
    <w:rsid w:val="0065649E"/>
    <w:rsid w:val="00656BF2"/>
    <w:rsid w:val="00657273"/>
    <w:rsid w:val="006602FA"/>
    <w:rsid w:val="00662259"/>
    <w:rsid w:val="006634B8"/>
    <w:rsid w:val="00663718"/>
    <w:rsid w:val="006643E7"/>
    <w:rsid w:val="0066452E"/>
    <w:rsid w:val="006660C7"/>
    <w:rsid w:val="0066635E"/>
    <w:rsid w:val="0067039B"/>
    <w:rsid w:val="00670D1E"/>
    <w:rsid w:val="00670FC7"/>
    <w:rsid w:val="00671290"/>
    <w:rsid w:val="00671CA0"/>
    <w:rsid w:val="00671E54"/>
    <w:rsid w:val="00673D01"/>
    <w:rsid w:val="00676965"/>
    <w:rsid w:val="006777C4"/>
    <w:rsid w:val="00681268"/>
    <w:rsid w:val="006818A4"/>
    <w:rsid w:val="006819F1"/>
    <w:rsid w:val="00681A9C"/>
    <w:rsid w:val="006825C5"/>
    <w:rsid w:val="00682B74"/>
    <w:rsid w:val="00683ECE"/>
    <w:rsid w:val="0068563B"/>
    <w:rsid w:val="00685AD7"/>
    <w:rsid w:val="0068671A"/>
    <w:rsid w:val="00686D3E"/>
    <w:rsid w:val="00687198"/>
    <w:rsid w:val="00690D6F"/>
    <w:rsid w:val="00691804"/>
    <w:rsid w:val="006926F2"/>
    <w:rsid w:val="00692DD3"/>
    <w:rsid w:val="00693057"/>
    <w:rsid w:val="00694FEC"/>
    <w:rsid w:val="0069518A"/>
    <w:rsid w:val="00696337"/>
    <w:rsid w:val="006966CC"/>
    <w:rsid w:val="006A00EE"/>
    <w:rsid w:val="006A0878"/>
    <w:rsid w:val="006A41A8"/>
    <w:rsid w:val="006A565D"/>
    <w:rsid w:val="006A69A1"/>
    <w:rsid w:val="006B328D"/>
    <w:rsid w:val="006B3514"/>
    <w:rsid w:val="006B3882"/>
    <w:rsid w:val="006B3F94"/>
    <w:rsid w:val="006B5801"/>
    <w:rsid w:val="006B5DF8"/>
    <w:rsid w:val="006B68A9"/>
    <w:rsid w:val="006C00F5"/>
    <w:rsid w:val="006C0CC0"/>
    <w:rsid w:val="006C2A08"/>
    <w:rsid w:val="006C3C2F"/>
    <w:rsid w:val="006C5E4F"/>
    <w:rsid w:val="006D082B"/>
    <w:rsid w:val="006D1204"/>
    <w:rsid w:val="006D18E5"/>
    <w:rsid w:val="006D32D6"/>
    <w:rsid w:val="006D47BE"/>
    <w:rsid w:val="006D52D2"/>
    <w:rsid w:val="006D57ED"/>
    <w:rsid w:val="006D59BE"/>
    <w:rsid w:val="006D7C0F"/>
    <w:rsid w:val="006E1B03"/>
    <w:rsid w:val="006E244A"/>
    <w:rsid w:val="006E2854"/>
    <w:rsid w:val="006E4F03"/>
    <w:rsid w:val="006E5B76"/>
    <w:rsid w:val="006E5DA5"/>
    <w:rsid w:val="006E5DF8"/>
    <w:rsid w:val="006E661E"/>
    <w:rsid w:val="006F0111"/>
    <w:rsid w:val="006F0AA2"/>
    <w:rsid w:val="006F0B71"/>
    <w:rsid w:val="006F0DAB"/>
    <w:rsid w:val="006F1CC5"/>
    <w:rsid w:val="006F61DD"/>
    <w:rsid w:val="006F6FD7"/>
    <w:rsid w:val="006F7A81"/>
    <w:rsid w:val="006F7ABA"/>
    <w:rsid w:val="00700590"/>
    <w:rsid w:val="00701525"/>
    <w:rsid w:val="00702329"/>
    <w:rsid w:val="00702F33"/>
    <w:rsid w:val="00705C7A"/>
    <w:rsid w:val="00705F2D"/>
    <w:rsid w:val="00707269"/>
    <w:rsid w:val="00707E95"/>
    <w:rsid w:val="007116F9"/>
    <w:rsid w:val="00713144"/>
    <w:rsid w:val="007137D2"/>
    <w:rsid w:val="007160B0"/>
    <w:rsid w:val="00716189"/>
    <w:rsid w:val="00716C33"/>
    <w:rsid w:val="007201FE"/>
    <w:rsid w:val="0072139C"/>
    <w:rsid w:val="00724045"/>
    <w:rsid w:val="00724180"/>
    <w:rsid w:val="0072438E"/>
    <w:rsid w:val="00726D34"/>
    <w:rsid w:val="00730569"/>
    <w:rsid w:val="00731F73"/>
    <w:rsid w:val="00732336"/>
    <w:rsid w:val="007324DE"/>
    <w:rsid w:val="00735424"/>
    <w:rsid w:val="00740002"/>
    <w:rsid w:val="0075202F"/>
    <w:rsid w:val="0075251B"/>
    <w:rsid w:val="00753FBE"/>
    <w:rsid w:val="0075528C"/>
    <w:rsid w:val="00756210"/>
    <w:rsid w:val="007566DB"/>
    <w:rsid w:val="00756820"/>
    <w:rsid w:val="00756876"/>
    <w:rsid w:val="00756D18"/>
    <w:rsid w:val="007578B8"/>
    <w:rsid w:val="00757A00"/>
    <w:rsid w:val="00757E83"/>
    <w:rsid w:val="007631D9"/>
    <w:rsid w:val="0076351D"/>
    <w:rsid w:val="00764A6F"/>
    <w:rsid w:val="00764D17"/>
    <w:rsid w:val="00767000"/>
    <w:rsid w:val="00767808"/>
    <w:rsid w:val="0077046E"/>
    <w:rsid w:val="007706CE"/>
    <w:rsid w:val="0077105F"/>
    <w:rsid w:val="00771558"/>
    <w:rsid w:val="00771B95"/>
    <w:rsid w:val="007720B4"/>
    <w:rsid w:val="00772AA5"/>
    <w:rsid w:val="00776770"/>
    <w:rsid w:val="0077778F"/>
    <w:rsid w:val="007801C1"/>
    <w:rsid w:val="00784B95"/>
    <w:rsid w:val="00784D27"/>
    <w:rsid w:val="0078510A"/>
    <w:rsid w:val="0078770A"/>
    <w:rsid w:val="00790C81"/>
    <w:rsid w:val="00791198"/>
    <w:rsid w:val="00791436"/>
    <w:rsid w:val="007928F5"/>
    <w:rsid w:val="00792A28"/>
    <w:rsid w:val="007952D3"/>
    <w:rsid w:val="007A1872"/>
    <w:rsid w:val="007A4B01"/>
    <w:rsid w:val="007A4F1B"/>
    <w:rsid w:val="007A4F8B"/>
    <w:rsid w:val="007A5879"/>
    <w:rsid w:val="007A668C"/>
    <w:rsid w:val="007A6D63"/>
    <w:rsid w:val="007A6FFE"/>
    <w:rsid w:val="007B0676"/>
    <w:rsid w:val="007B11ED"/>
    <w:rsid w:val="007B4811"/>
    <w:rsid w:val="007B61C8"/>
    <w:rsid w:val="007B6B2F"/>
    <w:rsid w:val="007C0E8A"/>
    <w:rsid w:val="007C108C"/>
    <w:rsid w:val="007C17F9"/>
    <w:rsid w:val="007C1F12"/>
    <w:rsid w:val="007C31A8"/>
    <w:rsid w:val="007C4A6E"/>
    <w:rsid w:val="007C5F46"/>
    <w:rsid w:val="007C61D7"/>
    <w:rsid w:val="007D18F0"/>
    <w:rsid w:val="007D2E2F"/>
    <w:rsid w:val="007D365D"/>
    <w:rsid w:val="007D3CD9"/>
    <w:rsid w:val="007D43EE"/>
    <w:rsid w:val="007D4FD5"/>
    <w:rsid w:val="007D53AC"/>
    <w:rsid w:val="007D5CA2"/>
    <w:rsid w:val="007D5CAD"/>
    <w:rsid w:val="007D7D91"/>
    <w:rsid w:val="007E20C6"/>
    <w:rsid w:val="007E2899"/>
    <w:rsid w:val="007E3B16"/>
    <w:rsid w:val="007E3F88"/>
    <w:rsid w:val="007E421D"/>
    <w:rsid w:val="007E4531"/>
    <w:rsid w:val="007E4880"/>
    <w:rsid w:val="007E503A"/>
    <w:rsid w:val="007E506A"/>
    <w:rsid w:val="007F0A1C"/>
    <w:rsid w:val="007F0CA2"/>
    <w:rsid w:val="007F1C16"/>
    <w:rsid w:val="007F355F"/>
    <w:rsid w:val="007F6A29"/>
    <w:rsid w:val="007F747D"/>
    <w:rsid w:val="007F7E7C"/>
    <w:rsid w:val="00801B02"/>
    <w:rsid w:val="00801F26"/>
    <w:rsid w:val="00802363"/>
    <w:rsid w:val="00802A80"/>
    <w:rsid w:val="00806128"/>
    <w:rsid w:val="00806968"/>
    <w:rsid w:val="00807DB7"/>
    <w:rsid w:val="008100CC"/>
    <w:rsid w:val="008105AF"/>
    <w:rsid w:val="008113A0"/>
    <w:rsid w:val="00811CE7"/>
    <w:rsid w:val="0081376C"/>
    <w:rsid w:val="00813FBF"/>
    <w:rsid w:val="00814FA9"/>
    <w:rsid w:val="00816D78"/>
    <w:rsid w:val="00821691"/>
    <w:rsid w:val="00824E7C"/>
    <w:rsid w:val="00825409"/>
    <w:rsid w:val="008255F6"/>
    <w:rsid w:val="00826402"/>
    <w:rsid w:val="008275FB"/>
    <w:rsid w:val="00827777"/>
    <w:rsid w:val="008302A4"/>
    <w:rsid w:val="00833090"/>
    <w:rsid w:val="00833261"/>
    <w:rsid w:val="00833366"/>
    <w:rsid w:val="008346F8"/>
    <w:rsid w:val="00834F09"/>
    <w:rsid w:val="008359B9"/>
    <w:rsid w:val="00835A05"/>
    <w:rsid w:val="00835E41"/>
    <w:rsid w:val="00836559"/>
    <w:rsid w:val="00837FCF"/>
    <w:rsid w:val="00840BD7"/>
    <w:rsid w:val="008413FF"/>
    <w:rsid w:val="00843490"/>
    <w:rsid w:val="00843E3F"/>
    <w:rsid w:val="00845390"/>
    <w:rsid w:val="008472F7"/>
    <w:rsid w:val="008501B0"/>
    <w:rsid w:val="00852122"/>
    <w:rsid w:val="00853DB6"/>
    <w:rsid w:val="0085428A"/>
    <w:rsid w:val="0085438F"/>
    <w:rsid w:val="00860ACF"/>
    <w:rsid w:val="00861774"/>
    <w:rsid w:val="008623B4"/>
    <w:rsid w:val="00862F94"/>
    <w:rsid w:val="008631B8"/>
    <w:rsid w:val="00864A0E"/>
    <w:rsid w:val="0086526C"/>
    <w:rsid w:val="0086583F"/>
    <w:rsid w:val="00866BD5"/>
    <w:rsid w:val="00870960"/>
    <w:rsid w:val="00870D28"/>
    <w:rsid w:val="008717DE"/>
    <w:rsid w:val="00872347"/>
    <w:rsid w:val="0087255C"/>
    <w:rsid w:val="00872A12"/>
    <w:rsid w:val="00874810"/>
    <w:rsid w:val="00874D71"/>
    <w:rsid w:val="00875D48"/>
    <w:rsid w:val="00877F51"/>
    <w:rsid w:val="008801E0"/>
    <w:rsid w:val="00881B54"/>
    <w:rsid w:val="00881BDE"/>
    <w:rsid w:val="008827B7"/>
    <w:rsid w:val="00882A5F"/>
    <w:rsid w:val="008852D8"/>
    <w:rsid w:val="0088688F"/>
    <w:rsid w:val="00890B55"/>
    <w:rsid w:val="008910A7"/>
    <w:rsid w:val="008928AD"/>
    <w:rsid w:val="00893EBD"/>
    <w:rsid w:val="008A00A5"/>
    <w:rsid w:val="008A2A0B"/>
    <w:rsid w:val="008A4CFD"/>
    <w:rsid w:val="008A5C1C"/>
    <w:rsid w:val="008A5CEF"/>
    <w:rsid w:val="008A6030"/>
    <w:rsid w:val="008A6BB6"/>
    <w:rsid w:val="008B0F98"/>
    <w:rsid w:val="008B2B08"/>
    <w:rsid w:val="008B4A47"/>
    <w:rsid w:val="008B6248"/>
    <w:rsid w:val="008B78F9"/>
    <w:rsid w:val="008C0CB9"/>
    <w:rsid w:val="008C1012"/>
    <w:rsid w:val="008C2B22"/>
    <w:rsid w:val="008C48FD"/>
    <w:rsid w:val="008C75F5"/>
    <w:rsid w:val="008C7AB9"/>
    <w:rsid w:val="008C7C7B"/>
    <w:rsid w:val="008D0B9D"/>
    <w:rsid w:val="008D4001"/>
    <w:rsid w:val="008D44AD"/>
    <w:rsid w:val="008D5953"/>
    <w:rsid w:val="008E03A9"/>
    <w:rsid w:val="008E0733"/>
    <w:rsid w:val="008E0AC3"/>
    <w:rsid w:val="008E1131"/>
    <w:rsid w:val="008E28BF"/>
    <w:rsid w:val="008E3054"/>
    <w:rsid w:val="008E3CBD"/>
    <w:rsid w:val="008E40A9"/>
    <w:rsid w:val="008E456E"/>
    <w:rsid w:val="008E7867"/>
    <w:rsid w:val="008F1C7D"/>
    <w:rsid w:val="008F1C9A"/>
    <w:rsid w:val="008F2328"/>
    <w:rsid w:val="008F3F1F"/>
    <w:rsid w:val="008F422B"/>
    <w:rsid w:val="008F6578"/>
    <w:rsid w:val="008F6E7A"/>
    <w:rsid w:val="008F7F2F"/>
    <w:rsid w:val="009006C1"/>
    <w:rsid w:val="009017D9"/>
    <w:rsid w:val="009036C0"/>
    <w:rsid w:val="0090464B"/>
    <w:rsid w:val="0091010A"/>
    <w:rsid w:val="009110D8"/>
    <w:rsid w:val="00912322"/>
    <w:rsid w:val="0091345C"/>
    <w:rsid w:val="009218FB"/>
    <w:rsid w:val="00922521"/>
    <w:rsid w:val="00923444"/>
    <w:rsid w:val="009234E1"/>
    <w:rsid w:val="00923E5D"/>
    <w:rsid w:val="00925A40"/>
    <w:rsid w:val="00926E27"/>
    <w:rsid w:val="00927128"/>
    <w:rsid w:val="00930FD3"/>
    <w:rsid w:val="00932267"/>
    <w:rsid w:val="009325E5"/>
    <w:rsid w:val="009336BF"/>
    <w:rsid w:val="00933968"/>
    <w:rsid w:val="00935E2A"/>
    <w:rsid w:val="009409BE"/>
    <w:rsid w:val="0094293A"/>
    <w:rsid w:val="00942B78"/>
    <w:rsid w:val="009431A5"/>
    <w:rsid w:val="0094543F"/>
    <w:rsid w:val="00945622"/>
    <w:rsid w:val="00946CE1"/>
    <w:rsid w:val="0094716A"/>
    <w:rsid w:val="0095083B"/>
    <w:rsid w:val="00951AFE"/>
    <w:rsid w:val="00951B2E"/>
    <w:rsid w:val="009553BB"/>
    <w:rsid w:val="0095698D"/>
    <w:rsid w:val="00957FD3"/>
    <w:rsid w:val="009608F9"/>
    <w:rsid w:val="00960B67"/>
    <w:rsid w:val="00961008"/>
    <w:rsid w:val="0096285F"/>
    <w:rsid w:val="0096444C"/>
    <w:rsid w:val="0096623D"/>
    <w:rsid w:val="0097110B"/>
    <w:rsid w:val="0097366B"/>
    <w:rsid w:val="009745A7"/>
    <w:rsid w:val="00974721"/>
    <w:rsid w:val="00975D33"/>
    <w:rsid w:val="00977784"/>
    <w:rsid w:val="00981444"/>
    <w:rsid w:val="00981F2D"/>
    <w:rsid w:val="00982A74"/>
    <w:rsid w:val="00984F77"/>
    <w:rsid w:val="00985E0C"/>
    <w:rsid w:val="009863DF"/>
    <w:rsid w:val="009865FE"/>
    <w:rsid w:val="009866D5"/>
    <w:rsid w:val="00987035"/>
    <w:rsid w:val="00990846"/>
    <w:rsid w:val="0099098F"/>
    <w:rsid w:val="00991187"/>
    <w:rsid w:val="00991423"/>
    <w:rsid w:val="00993831"/>
    <w:rsid w:val="0099384A"/>
    <w:rsid w:val="009947CE"/>
    <w:rsid w:val="00995060"/>
    <w:rsid w:val="009A0905"/>
    <w:rsid w:val="009A1DF0"/>
    <w:rsid w:val="009A2172"/>
    <w:rsid w:val="009A301D"/>
    <w:rsid w:val="009A3B9A"/>
    <w:rsid w:val="009A665A"/>
    <w:rsid w:val="009A66F9"/>
    <w:rsid w:val="009B0C23"/>
    <w:rsid w:val="009B420F"/>
    <w:rsid w:val="009B4308"/>
    <w:rsid w:val="009B5B4B"/>
    <w:rsid w:val="009B638E"/>
    <w:rsid w:val="009C005A"/>
    <w:rsid w:val="009C0152"/>
    <w:rsid w:val="009C0E95"/>
    <w:rsid w:val="009C10C6"/>
    <w:rsid w:val="009C1439"/>
    <w:rsid w:val="009C1FC4"/>
    <w:rsid w:val="009C2552"/>
    <w:rsid w:val="009C2804"/>
    <w:rsid w:val="009C38A0"/>
    <w:rsid w:val="009C46DC"/>
    <w:rsid w:val="009C5ABE"/>
    <w:rsid w:val="009C65D1"/>
    <w:rsid w:val="009C7B92"/>
    <w:rsid w:val="009D0342"/>
    <w:rsid w:val="009D0A69"/>
    <w:rsid w:val="009D11E2"/>
    <w:rsid w:val="009D1BD9"/>
    <w:rsid w:val="009D270D"/>
    <w:rsid w:val="009D2E4E"/>
    <w:rsid w:val="009D36DA"/>
    <w:rsid w:val="009D4DF5"/>
    <w:rsid w:val="009D568E"/>
    <w:rsid w:val="009D5E7D"/>
    <w:rsid w:val="009D750E"/>
    <w:rsid w:val="009D7941"/>
    <w:rsid w:val="009E025D"/>
    <w:rsid w:val="009E0E9E"/>
    <w:rsid w:val="009E2D4C"/>
    <w:rsid w:val="009E4D69"/>
    <w:rsid w:val="009E73A7"/>
    <w:rsid w:val="009F3C51"/>
    <w:rsid w:val="009F575E"/>
    <w:rsid w:val="009F57B6"/>
    <w:rsid w:val="009F5E0B"/>
    <w:rsid w:val="009F6758"/>
    <w:rsid w:val="009F6AC2"/>
    <w:rsid w:val="009F750A"/>
    <w:rsid w:val="009F75A7"/>
    <w:rsid w:val="00A01722"/>
    <w:rsid w:val="00A042E3"/>
    <w:rsid w:val="00A04485"/>
    <w:rsid w:val="00A054B9"/>
    <w:rsid w:val="00A07A40"/>
    <w:rsid w:val="00A10B02"/>
    <w:rsid w:val="00A11608"/>
    <w:rsid w:val="00A128EA"/>
    <w:rsid w:val="00A13F93"/>
    <w:rsid w:val="00A14499"/>
    <w:rsid w:val="00A14E50"/>
    <w:rsid w:val="00A1539B"/>
    <w:rsid w:val="00A153F5"/>
    <w:rsid w:val="00A164FE"/>
    <w:rsid w:val="00A17149"/>
    <w:rsid w:val="00A17277"/>
    <w:rsid w:val="00A207EA"/>
    <w:rsid w:val="00A21AC1"/>
    <w:rsid w:val="00A22B29"/>
    <w:rsid w:val="00A22EB3"/>
    <w:rsid w:val="00A257D8"/>
    <w:rsid w:val="00A26AD4"/>
    <w:rsid w:val="00A26EEA"/>
    <w:rsid w:val="00A27626"/>
    <w:rsid w:val="00A27E77"/>
    <w:rsid w:val="00A31420"/>
    <w:rsid w:val="00A34228"/>
    <w:rsid w:val="00A365C4"/>
    <w:rsid w:val="00A36EFC"/>
    <w:rsid w:val="00A40181"/>
    <w:rsid w:val="00A40400"/>
    <w:rsid w:val="00A41551"/>
    <w:rsid w:val="00A415D5"/>
    <w:rsid w:val="00A41BDD"/>
    <w:rsid w:val="00A424AD"/>
    <w:rsid w:val="00A426DA"/>
    <w:rsid w:val="00A45AAB"/>
    <w:rsid w:val="00A45F22"/>
    <w:rsid w:val="00A46314"/>
    <w:rsid w:val="00A46F09"/>
    <w:rsid w:val="00A47767"/>
    <w:rsid w:val="00A509EF"/>
    <w:rsid w:val="00A53D97"/>
    <w:rsid w:val="00A54E5A"/>
    <w:rsid w:val="00A557C8"/>
    <w:rsid w:val="00A56BDF"/>
    <w:rsid w:val="00A6046C"/>
    <w:rsid w:val="00A60C83"/>
    <w:rsid w:val="00A613F2"/>
    <w:rsid w:val="00A61DD4"/>
    <w:rsid w:val="00A620FC"/>
    <w:rsid w:val="00A67FDD"/>
    <w:rsid w:val="00A704A6"/>
    <w:rsid w:val="00A708CA"/>
    <w:rsid w:val="00A71D33"/>
    <w:rsid w:val="00A743EB"/>
    <w:rsid w:val="00A757CE"/>
    <w:rsid w:val="00A757F4"/>
    <w:rsid w:val="00A807C1"/>
    <w:rsid w:val="00A8127A"/>
    <w:rsid w:val="00A82321"/>
    <w:rsid w:val="00A82BD9"/>
    <w:rsid w:val="00A8684A"/>
    <w:rsid w:val="00A87803"/>
    <w:rsid w:val="00A91408"/>
    <w:rsid w:val="00A92DB8"/>
    <w:rsid w:val="00A93F94"/>
    <w:rsid w:val="00A975D8"/>
    <w:rsid w:val="00AA0089"/>
    <w:rsid w:val="00AA0BD5"/>
    <w:rsid w:val="00AA2468"/>
    <w:rsid w:val="00AA5300"/>
    <w:rsid w:val="00AA5F4A"/>
    <w:rsid w:val="00AA7403"/>
    <w:rsid w:val="00AA74FD"/>
    <w:rsid w:val="00AB0A33"/>
    <w:rsid w:val="00AB3091"/>
    <w:rsid w:val="00AB30A6"/>
    <w:rsid w:val="00AB37FF"/>
    <w:rsid w:val="00AB53AB"/>
    <w:rsid w:val="00AB7425"/>
    <w:rsid w:val="00AC11F9"/>
    <w:rsid w:val="00AC1FFE"/>
    <w:rsid w:val="00AC21A8"/>
    <w:rsid w:val="00AC3311"/>
    <w:rsid w:val="00AC5825"/>
    <w:rsid w:val="00AC6AEE"/>
    <w:rsid w:val="00AC7CC6"/>
    <w:rsid w:val="00AD049D"/>
    <w:rsid w:val="00AD0DB4"/>
    <w:rsid w:val="00AD279C"/>
    <w:rsid w:val="00AD3846"/>
    <w:rsid w:val="00AD5347"/>
    <w:rsid w:val="00AD57AA"/>
    <w:rsid w:val="00AD69F7"/>
    <w:rsid w:val="00AD70BC"/>
    <w:rsid w:val="00AD7AB6"/>
    <w:rsid w:val="00AE1A87"/>
    <w:rsid w:val="00AE3A06"/>
    <w:rsid w:val="00AF0510"/>
    <w:rsid w:val="00AF0E97"/>
    <w:rsid w:val="00AF135D"/>
    <w:rsid w:val="00AF21DE"/>
    <w:rsid w:val="00AF3D7C"/>
    <w:rsid w:val="00AF41DD"/>
    <w:rsid w:val="00AF45C2"/>
    <w:rsid w:val="00AF6922"/>
    <w:rsid w:val="00AF6A44"/>
    <w:rsid w:val="00AF7008"/>
    <w:rsid w:val="00B001F7"/>
    <w:rsid w:val="00B0373E"/>
    <w:rsid w:val="00B05E0B"/>
    <w:rsid w:val="00B0717C"/>
    <w:rsid w:val="00B076C7"/>
    <w:rsid w:val="00B07DBF"/>
    <w:rsid w:val="00B10C38"/>
    <w:rsid w:val="00B11D3C"/>
    <w:rsid w:val="00B1212B"/>
    <w:rsid w:val="00B12B1D"/>
    <w:rsid w:val="00B14C30"/>
    <w:rsid w:val="00B150B9"/>
    <w:rsid w:val="00B25101"/>
    <w:rsid w:val="00B25F34"/>
    <w:rsid w:val="00B31472"/>
    <w:rsid w:val="00B31751"/>
    <w:rsid w:val="00B32E2F"/>
    <w:rsid w:val="00B32F42"/>
    <w:rsid w:val="00B33A98"/>
    <w:rsid w:val="00B36D98"/>
    <w:rsid w:val="00B36F81"/>
    <w:rsid w:val="00B3766D"/>
    <w:rsid w:val="00B37D64"/>
    <w:rsid w:val="00B40D36"/>
    <w:rsid w:val="00B433A7"/>
    <w:rsid w:val="00B43723"/>
    <w:rsid w:val="00B43FA5"/>
    <w:rsid w:val="00B442EE"/>
    <w:rsid w:val="00B467D6"/>
    <w:rsid w:val="00B47617"/>
    <w:rsid w:val="00B501A6"/>
    <w:rsid w:val="00B52FF9"/>
    <w:rsid w:val="00B53557"/>
    <w:rsid w:val="00B53B93"/>
    <w:rsid w:val="00B54007"/>
    <w:rsid w:val="00B54546"/>
    <w:rsid w:val="00B54A7E"/>
    <w:rsid w:val="00B5549C"/>
    <w:rsid w:val="00B55F92"/>
    <w:rsid w:val="00B56450"/>
    <w:rsid w:val="00B57B60"/>
    <w:rsid w:val="00B57DA4"/>
    <w:rsid w:val="00B6150B"/>
    <w:rsid w:val="00B64297"/>
    <w:rsid w:val="00B66579"/>
    <w:rsid w:val="00B66B93"/>
    <w:rsid w:val="00B700DD"/>
    <w:rsid w:val="00B722FC"/>
    <w:rsid w:val="00B729E5"/>
    <w:rsid w:val="00B7364D"/>
    <w:rsid w:val="00B76790"/>
    <w:rsid w:val="00B8070C"/>
    <w:rsid w:val="00B83018"/>
    <w:rsid w:val="00B857FB"/>
    <w:rsid w:val="00B866C1"/>
    <w:rsid w:val="00B86B91"/>
    <w:rsid w:val="00B87ED0"/>
    <w:rsid w:val="00B918A7"/>
    <w:rsid w:val="00B9196A"/>
    <w:rsid w:val="00B91D00"/>
    <w:rsid w:val="00BA271B"/>
    <w:rsid w:val="00BA4EEE"/>
    <w:rsid w:val="00BA5BA8"/>
    <w:rsid w:val="00BA6591"/>
    <w:rsid w:val="00BA6FAE"/>
    <w:rsid w:val="00BB102A"/>
    <w:rsid w:val="00BB178D"/>
    <w:rsid w:val="00BB1A8A"/>
    <w:rsid w:val="00BB2497"/>
    <w:rsid w:val="00BB3EC3"/>
    <w:rsid w:val="00BB4E61"/>
    <w:rsid w:val="00BB5EB0"/>
    <w:rsid w:val="00BB6476"/>
    <w:rsid w:val="00BB6819"/>
    <w:rsid w:val="00BC0715"/>
    <w:rsid w:val="00BC11B6"/>
    <w:rsid w:val="00BC1E2A"/>
    <w:rsid w:val="00BC230F"/>
    <w:rsid w:val="00BC2436"/>
    <w:rsid w:val="00BC3591"/>
    <w:rsid w:val="00BC4EFF"/>
    <w:rsid w:val="00BD03BB"/>
    <w:rsid w:val="00BD2C76"/>
    <w:rsid w:val="00BD497F"/>
    <w:rsid w:val="00BD6384"/>
    <w:rsid w:val="00BD692E"/>
    <w:rsid w:val="00BD6B9F"/>
    <w:rsid w:val="00BD7684"/>
    <w:rsid w:val="00BE0707"/>
    <w:rsid w:val="00BE0A47"/>
    <w:rsid w:val="00BE0B81"/>
    <w:rsid w:val="00BE0CC6"/>
    <w:rsid w:val="00BE0EDA"/>
    <w:rsid w:val="00BE155C"/>
    <w:rsid w:val="00BE1C21"/>
    <w:rsid w:val="00BE1D0D"/>
    <w:rsid w:val="00BE34B3"/>
    <w:rsid w:val="00BE5225"/>
    <w:rsid w:val="00BE5D40"/>
    <w:rsid w:val="00BE6957"/>
    <w:rsid w:val="00BE6D5E"/>
    <w:rsid w:val="00BE7D52"/>
    <w:rsid w:val="00BE7E63"/>
    <w:rsid w:val="00BF1A30"/>
    <w:rsid w:val="00BF384D"/>
    <w:rsid w:val="00BF395F"/>
    <w:rsid w:val="00BF3E36"/>
    <w:rsid w:val="00BF4CB6"/>
    <w:rsid w:val="00BF596B"/>
    <w:rsid w:val="00C00118"/>
    <w:rsid w:val="00C01163"/>
    <w:rsid w:val="00C01380"/>
    <w:rsid w:val="00C01765"/>
    <w:rsid w:val="00C017B1"/>
    <w:rsid w:val="00C01D1E"/>
    <w:rsid w:val="00C01D25"/>
    <w:rsid w:val="00C02C9B"/>
    <w:rsid w:val="00C04ED2"/>
    <w:rsid w:val="00C057D8"/>
    <w:rsid w:val="00C07AC3"/>
    <w:rsid w:val="00C124A4"/>
    <w:rsid w:val="00C12942"/>
    <w:rsid w:val="00C16BD8"/>
    <w:rsid w:val="00C178AC"/>
    <w:rsid w:val="00C17FAB"/>
    <w:rsid w:val="00C21200"/>
    <w:rsid w:val="00C25818"/>
    <w:rsid w:val="00C25C0C"/>
    <w:rsid w:val="00C25E49"/>
    <w:rsid w:val="00C27D54"/>
    <w:rsid w:val="00C30D99"/>
    <w:rsid w:val="00C30E1A"/>
    <w:rsid w:val="00C34634"/>
    <w:rsid w:val="00C378CC"/>
    <w:rsid w:val="00C4143E"/>
    <w:rsid w:val="00C42683"/>
    <w:rsid w:val="00C46122"/>
    <w:rsid w:val="00C47C8B"/>
    <w:rsid w:val="00C51BC7"/>
    <w:rsid w:val="00C52A3E"/>
    <w:rsid w:val="00C53AFD"/>
    <w:rsid w:val="00C545F7"/>
    <w:rsid w:val="00C54A3F"/>
    <w:rsid w:val="00C55FBA"/>
    <w:rsid w:val="00C5669D"/>
    <w:rsid w:val="00C56D58"/>
    <w:rsid w:val="00C60322"/>
    <w:rsid w:val="00C60BB2"/>
    <w:rsid w:val="00C626C6"/>
    <w:rsid w:val="00C66FC8"/>
    <w:rsid w:val="00C70492"/>
    <w:rsid w:val="00C70E75"/>
    <w:rsid w:val="00C70FCF"/>
    <w:rsid w:val="00C73ED6"/>
    <w:rsid w:val="00C74A34"/>
    <w:rsid w:val="00C759A4"/>
    <w:rsid w:val="00C759B2"/>
    <w:rsid w:val="00C75DEF"/>
    <w:rsid w:val="00C75E22"/>
    <w:rsid w:val="00C76145"/>
    <w:rsid w:val="00C7632B"/>
    <w:rsid w:val="00C767C6"/>
    <w:rsid w:val="00C7708C"/>
    <w:rsid w:val="00C811F8"/>
    <w:rsid w:val="00C84029"/>
    <w:rsid w:val="00C87B51"/>
    <w:rsid w:val="00C90600"/>
    <w:rsid w:val="00C90F70"/>
    <w:rsid w:val="00C9184D"/>
    <w:rsid w:val="00C91AAB"/>
    <w:rsid w:val="00C922A3"/>
    <w:rsid w:val="00C92C03"/>
    <w:rsid w:val="00C9302A"/>
    <w:rsid w:val="00C9410A"/>
    <w:rsid w:val="00C95580"/>
    <w:rsid w:val="00C977F8"/>
    <w:rsid w:val="00C97C5C"/>
    <w:rsid w:val="00CA273E"/>
    <w:rsid w:val="00CA3483"/>
    <w:rsid w:val="00CA3E30"/>
    <w:rsid w:val="00CA7372"/>
    <w:rsid w:val="00CA7545"/>
    <w:rsid w:val="00CA76CA"/>
    <w:rsid w:val="00CB079A"/>
    <w:rsid w:val="00CB143B"/>
    <w:rsid w:val="00CB1581"/>
    <w:rsid w:val="00CB1EF1"/>
    <w:rsid w:val="00CB2AD2"/>
    <w:rsid w:val="00CC0C4C"/>
    <w:rsid w:val="00CC251D"/>
    <w:rsid w:val="00CC266F"/>
    <w:rsid w:val="00CC3982"/>
    <w:rsid w:val="00CC3B38"/>
    <w:rsid w:val="00CC3D78"/>
    <w:rsid w:val="00CC4DE6"/>
    <w:rsid w:val="00CC6776"/>
    <w:rsid w:val="00CC754D"/>
    <w:rsid w:val="00CD0ED0"/>
    <w:rsid w:val="00CD1A4C"/>
    <w:rsid w:val="00CD29F0"/>
    <w:rsid w:val="00CD4DDF"/>
    <w:rsid w:val="00CD50D0"/>
    <w:rsid w:val="00CD77CA"/>
    <w:rsid w:val="00CD7BEF"/>
    <w:rsid w:val="00CE1F9B"/>
    <w:rsid w:val="00CE1FB0"/>
    <w:rsid w:val="00CE2064"/>
    <w:rsid w:val="00CE440D"/>
    <w:rsid w:val="00CF0AF9"/>
    <w:rsid w:val="00CF0B06"/>
    <w:rsid w:val="00CF1A1C"/>
    <w:rsid w:val="00CF2981"/>
    <w:rsid w:val="00CF302F"/>
    <w:rsid w:val="00CF32DA"/>
    <w:rsid w:val="00CF39F5"/>
    <w:rsid w:val="00CF4859"/>
    <w:rsid w:val="00CF4ED1"/>
    <w:rsid w:val="00CF5D07"/>
    <w:rsid w:val="00CF6A4D"/>
    <w:rsid w:val="00D00E07"/>
    <w:rsid w:val="00D01EE3"/>
    <w:rsid w:val="00D02177"/>
    <w:rsid w:val="00D026D2"/>
    <w:rsid w:val="00D031AC"/>
    <w:rsid w:val="00D03FF1"/>
    <w:rsid w:val="00D0504B"/>
    <w:rsid w:val="00D06219"/>
    <w:rsid w:val="00D06970"/>
    <w:rsid w:val="00D06E55"/>
    <w:rsid w:val="00D07205"/>
    <w:rsid w:val="00D07845"/>
    <w:rsid w:val="00D0799D"/>
    <w:rsid w:val="00D07AE1"/>
    <w:rsid w:val="00D07F56"/>
    <w:rsid w:val="00D1036C"/>
    <w:rsid w:val="00D108E3"/>
    <w:rsid w:val="00D13239"/>
    <w:rsid w:val="00D146C0"/>
    <w:rsid w:val="00D15229"/>
    <w:rsid w:val="00D15898"/>
    <w:rsid w:val="00D168D9"/>
    <w:rsid w:val="00D16D4B"/>
    <w:rsid w:val="00D20738"/>
    <w:rsid w:val="00D208F2"/>
    <w:rsid w:val="00D20956"/>
    <w:rsid w:val="00D20998"/>
    <w:rsid w:val="00D20A12"/>
    <w:rsid w:val="00D223C5"/>
    <w:rsid w:val="00D22F08"/>
    <w:rsid w:val="00D2458F"/>
    <w:rsid w:val="00D24807"/>
    <w:rsid w:val="00D25344"/>
    <w:rsid w:val="00D30810"/>
    <w:rsid w:val="00D3115D"/>
    <w:rsid w:val="00D317A2"/>
    <w:rsid w:val="00D31AC3"/>
    <w:rsid w:val="00D33AB5"/>
    <w:rsid w:val="00D33E94"/>
    <w:rsid w:val="00D35894"/>
    <w:rsid w:val="00D35A3C"/>
    <w:rsid w:val="00D36D0E"/>
    <w:rsid w:val="00D4012B"/>
    <w:rsid w:val="00D4227F"/>
    <w:rsid w:val="00D433F1"/>
    <w:rsid w:val="00D44952"/>
    <w:rsid w:val="00D46E50"/>
    <w:rsid w:val="00D47298"/>
    <w:rsid w:val="00D47695"/>
    <w:rsid w:val="00D51855"/>
    <w:rsid w:val="00D518BD"/>
    <w:rsid w:val="00D54D8B"/>
    <w:rsid w:val="00D56B78"/>
    <w:rsid w:val="00D56DB0"/>
    <w:rsid w:val="00D57596"/>
    <w:rsid w:val="00D576BA"/>
    <w:rsid w:val="00D60676"/>
    <w:rsid w:val="00D61024"/>
    <w:rsid w:val="00D6158C"/>
    <w:rsid w:val="00D62100"/>
    <w:rsid w:val="00D63B23"/>
    <w:rsid w:val="00D64B26"/>
    <w:rsid w:val="00D65B98"/>
    <w:rsid w:val="00D65E71"/>
    <w:rsid w:val="00D67236"/>
    <w:rsid w:val="00D70415"/>
    <w:rsid w:val="00D7135C"/>
    <w:rsid w:val="00D725A5"/>
    <w:rsid w:val="00D7361C"/>
    <w:rsid w:val="00D741DF"/>
    <w:rsid w:val="00D752AF"/>
    <w:rsid w:val="00D75508"/>
    <w:rsid w:val="00D75552"/>
    <w:rsid w:val="00D759E5"/>
    <w:rsid w:val="00D77BEE"/>
    <w:rsid w:val="00D82193"/>
    <w:rsid w:val="00D834FB"/>
    <w:rsid w:val="00D84E01"/>
    <w:rsid w:val="00D857AA"/>
    <w:rsid w:val="00D868D6"/>
    <w:rsid w:val="00D87017"/>
    <w:rsid w:val="00D92348"/>
    <w:rsid w:val="00D9460B"/>
    <w:rsid w:val="00D94992"/>
    <w:rsid w:val="00D95054"/>
    <w:rsid w:val="00D96247"/>
    <w:rsid w:val="00D96337"/>
    <w:rsid w:val="00D9731B"/>
    <w:rsid w:val="00D97323"/>
    <w:rsid w:val="00DA08CE"/>
    <w:rsid w:val="00DA2401"/>
    <w:rsid w:val="00DA30F1"/>
    <w:rsid w:val="00DA353D"/>
    <w:rsid w:val="00DA4E14"/>
    <w:rsid w:val="00DA6289"/>
    <w:rsid w:val="00DA7091"/>
    <w:rsid w:val="00DB0CAE"/>
    <w:rsid w:val="00DB3246"/>
    <w:rsid w:val="00DB3743"/>
    <w:rsid w:val="00DB44CD"/>
    <w:rsid w:val="00DB4D29"/>
    <w:rsid w:val="00DB73BC"/>
    <w:rsid w:val="00DC04EF"/>
    <w:rsid w:val="00DC142E"/>
    <w:rsid w:val="00DC2DA3"/>
    <w:rsid w:val="00DC38E8"/>
    <w:rsid w:val="00DC5093"/>
    <w:rsid w:val="00DC520D"/>
    <w:rsid w:val="00DC52D2"/>
    <w:rsid w:val="00DC6F13"/>
    <w:rsid w:val="00DC7EA6"/>
    <w:rsid w:val="00DC7FD0"/>
    <w:rsid w:val="00DD0F50"/>
    <w:rsid w:val="00DD0FCA"/>
    <w:rsid w:val="00DD12F9"/>
    <w:rsid w:val="00DD283D"/>
    <w:rsid w:val="00DD290E"/>
    <w:rsid w:val="00DD2F86"/>
    <w:rsid w:val="00DD33B6"/>
    <w:rsid w:val="00DD3DB8"/>
    <w:rsid w:val="00DD4360"/>
    <w:rsid w:val="00DD4788"/>
    <w:rsid w:val="00DD5061"/>
    <w:rsid w:val="00DD6B57"/>
    <w:rsid w:val="00DE202C"/>
    <w:rsid w:val="00DE29BD"/>
    <w:rsid w:val="00DE2C92"/>
    <w:rsid w:val="00DE3859"/>
    <w:rsid w:val="00DE4248"/>
    <w:rsid w:val="00DE50D8"/>
    <w:rsid w:val="00DE6716"/>
    <w:rsid w:val="00DE6F8F"/>
    <w:rsid w:val="00DF068B"/>
    <w:rsid w:val="00DF13A8"/>
    <w:rsid w:val="00DF2A32"/>
    <w:rsid w:val="00DF347E"/>
    <w:rsid w:val="00DF57F0"/>
    <w:rsid w:val="00DF58E6"/>
    <w:rsid w:val="00DF5F5B"/>
    <w:rsid w:val="00DF6C5F"/>
    <w:rsid w:val="00DF70C3"/>
    <w:rsid w:val="00DF79D4"/>
    <w:rsid w:val="00E00366"/>
    <w:rsid w:val="00E00B11"/>
    <w:rsid w:val="00E0281E"/>
    <w:rsid w:val="00E04217"/>
    <w:rsid w:val="00E05C13"/>
    <w:rsid w:val="00E06A42"/>
    <w:rsid w:val="00E06B38"/>
    <w:rsid w:val="00E07DC7"/>
    <w:rsid w:val="00E106A2"/>
    <w:rsid w:val="00E12CBB"/>
    <w:rsid w:val="00E15DCF"/>
    <w:rsid w:val="00E163BD"/>
    <w:rsid w:val="00E1704B"/>
    <w:rsid w:val="00E1741A"/>
    <w:rsid w:val="00E20021"/>
    <w:rsid w:val="00E210E2"/>
    <w:rsid w:val="00E22103"/>
    <w:rsid w:val="00E248E5"/>
    <w:rsid w:val="00E306F5"/>
    <w:rsid w:val="00E31E5E"/>
    <w:rsid w:val="00E33228"/>
    <w:rsid w:val="00E33781"/>
    <w:rsid w:val="00E40AD7"/>
    <w:rsid w:val="00E4183B"/>
    <w:rsid w:val="00E4293B"/>
    <w:rsid w:val="00E43A69"/>
    <w:rsid w:val="00E50172"/>
    <w:rsid w:val="00E52263"/>
    <w:rsid w:val="00E53686"/>
    <w:rsid w:val="00E543E8"/>
    <w:rsid w:val="00E545C2"/>
    <w:rsid w:val="00E55D08"/>
    <w:rsid w:val="00E563CB"/>
    <w:rsid w:val="00E56485"/>
    <w:rsid w:val="00E56668"/>
    <w:rsid w:val="00E56ED3"/>
    <w:rsid w:val="00E623E7"/>
    <w:rsid w:val="00E62F6B"/>
    <w:rsid w:val="00E646C4"/>
    <w:rsid w:val="00E6492D"/>
    <w:rsid w:val="00E673C0"/>
    <w:rsid w:val="00E73DC6"/>
    <w:rsid w:val="00E7577C"/>
    <w:rsid w:val="00E76B8E"/>
    <w:rsid w:val="00E777BD"/>
    <w:rsid w:val="00E8000F"/>
    <w:rsid w:val="00E80ED4"/>
    <w:rsid w:val="00E82022"/>
    <w:rsid w:val="00E8278A"/>
    <w:rsid w:val="00E83875"/>
    <w:rsid w:val="00E87073"/>
    <w:rsid w:val="00E870B1"/>
    <w:rsid w:val="00E872DC"/>
    <w:rsid w:val="00E92432"/>
    <w:rsid w:val="00E933D0"/>
    <w:rsid w:val="00E937D8"/>
    <w:rsid w:val="00E952D9"/>
    <w:rsid w:val="00E972F0"/>
    <w:rsid w:val="00E9756F"/>
    <w:rsid w:val="00EA0C87"/>
    <w:rsid w:val="00EA1E49"/>
    <w:rsid w:val="00EA22BF"/>
    <w:rsid w:val="00EA2F25"/>
    <w:rsid w:val="00EA2FCD"/>
    <w:rsid w:val="00EA4140"/>
    <w:rsid w:val="00EA6567"/>
    <w:rsid w:val="00EA65CC"/>
    <w:rsid w:val="00EB0B56"/>
    <w:rsid w:val="00EB25DF"/>
    <w:rsid w:val="00EB536E"/>
    <w:rsid w:val="00EB5A54"/>
    <w:rsid w:val="00EB5E25"/>
    <w:rsid w:val="00EB626B"/>
    <w:rsid w:val="00EB6E92"/>
    <w:rsid w:val="00EB7EAA"/>
    <w:rsid w:val="00EC07D6"/>
    <w:rsid w:val="00EC129F"/>
    <w:rsid w:val="00EC3766"/>
    <w:rsid w:val="00EC3A47"/>
    <w:rsid w:val="00EC48BD"/>
    <w:rsid w:val="00EC4F12"/>
    <w:rsid w:val="00EC6825"/>
    <w:rsid w:val="00EC68C5"/>
    <w:rsid w:val="00EC78A1"/>
    <w:rsid w:val="00ED0C00"/>
    <w:rsid w:val="00ED0FA3"/>
    <w:rsid w:val="00ED1EB7"/>
    <w:rsid w:val="00ED3D90"/>
    <w:rsid w:val="00ED5A5E"/>
    <w:rsid w:val="00ED5DB9"/>
    <w:rsid w:val="00ED7DED"/>
    <w:rsid w:val="00EE0822"/>
    <w:rsid w:val="00EE3D06"/>
    <w:rsid w:val="00EE4DC1"/>
    <w:rsid w:val="00EE4F23"/>
    <w:rsid w:val="00EF0005"/>
    <w:rsid w:val="00EF05A4"/>
    <w:rsid w:val="00EF1BAC"/>
    <w:rsid w:val="00EF204C"/>
    <w:rsid w:val="00EF2158"/>
    <w:rsid w:val="00EF389F"/>
    <w:rsid w:val="00EF3D36"/>
    <w:rsid w:val="00EF44F1"/>
    <w:rsid w:val="00EF5AF0"/>
    <w:rsid w:val="00EF5CB5"/>
    <w:rsid w:val="00F0009A"/>
    <w:rsid w:val="00F001D8"/>
    <w:rsid w:val="00F00F2C"/>
    <w:rsid w:val="00F026D7"/>
    <w:rsid w:val="00F030EA"/>
    <w:rsid w:val="00F03A8D"/>
    <w:rsid w:val="00F03CA5"/>
    <w:rsid w:val="00F04B87"/>
    <w:rsid w:val="00F102DF"/>
    <w:rsid w:val="00F11979"/>
    <w:rsid w:val="00F12BF5"/>
    <w:rsid w:val="00F14F6D"/>
    <w:rsid w:val="00F155A6"/>
    <w:rsid w:val="00F15CBC"/>
    <w:rsid w:val="00F15E05"/>
    <w:rsid w:val="00F15F2A"/>
    <w:rsid w:val="00F17214"/>
    <w:rsid w:val="00F2082F"/>
    <w:rsid w:val="00F25710"/>
    <w:rsid w:val="00F25ABA"/>
    <w:rsid w:val="00F2731B"/>
    <w:rsid w:val="00F27BAA"/>
    <w:rsid w:val="00F300B3"/>
    <w:rsid w:val="00F30190"/>
    <w:rsid w:val="00F31A6E"/>
    <w:rsid w:val="00F31E80"/>
    <w:rsid w:val="00F32BBF"/>
    <w:rsid w:val="00F3492B"/>
    <w:rsid w:val="00F35988"/>
    <w:rsid w:val="00F3619F"/>
    <w:rsid w:val="00F36852"/>
    <w:rsid w:val="00F41AF1"/>
    <w:rsid w:val="00F4242E"/>
    <w:rsid w:val="00F43192"/>
    <w:rsid w:val="00F43338"/>
    <w:rsid w:val="00F43A6C"/>
    <w:rsid w:val="00F43B90"/>
    <w:rsid w:val="00F44283"/>
    <w:rsid w:val="00F44870"/>
    <w:rsid w:val="00F4644C"/>
    <w:rsid w:val="00F47184"/>
    <w:rsid w:val="00F473A0"/>
    <w:rsid w:val="00F4742E"/>
    <w:rsid w:val="00F519B8"/>
    <w:rsid w:val="00F52587"/>
    <w:rsid w:val="00F5312E"/>
    <w:rsid w:val="00F54838"/>
    <w:rsid w:val="00F54ECB"/>
    <w:rsid w:val="00F565BE"/>
    <w:rsid w:val="00F606FC"/>
    <w:rsid w:val="00F63D23"/>
    <w:rsid w:val="00F65878"/>
    <w:rsid w:val="00F6616E"/>
    <w:rsid w:val="00F66D1F"/>
    <w:rsid w:val="00F72B09"/>
    <w:rsid w:val="00F74F54"/>
    <w:rsid w:val="00F758A0"/>
    <w:rsid w:val="00F76C02"/>
    <w:rsid w:val="00F77D87"/>
    <w:rsid w:val="00F82EF1"/>
    <w:rsid w:val="00F8379F"/>
    <w:rsid w:val="00F838AB"/>
    <w:rsid w:val="00F83A3F"/>
    <w:rsid w:val="00F845DA"/>
    <w:rsid w:val="00F8561F"/>
    <w:rsid w:val="00F85801"/>
    <w:rsid w:val="00F919DD"/>
    <w:rsid w:val="00F91AA7"/>
    <w:rsid w:val="00F95EBD"/>
    <w:rsid w:val="00F96176"/>
    <w:rsid w:val="00F97054"/>
    <w:rsid w:val="00F97DD9"/>
    <w:rsid w:val="00FA034F"/>
    <w:rsid w:val="00FA08CB"/>
    <w:rsid w:val="00FA252D"/>
    <w:rsid w:val="00FA44DC"/>
    <w:rsid w:val="00FA6BE4"/>
    <w:rsid w:val="00FA7396"/>
    <w:rsid w:val="00FB080A"/>
    <w:rsid w:val="00FB0BAC"/>
    <w:rsid w:val="00FB2CE3"/>
    <w:rsid w:val="00FB5295"/>
    <w:rsid w:val="00FB5814"/>
    <w:rsid w:val="00FB62E0"/>
    <w:rsid w:val="00FC1E2B"/>
    <w:rsid w:val="00FC373D"/>
    <w:rsid w:val="00FC3F7A"/>
    <w:rsid w:val="00FC5DE2"/>
    <w:rsid w:val="00FC6A97"/>
    <w:rsid w:val="00FC6DF0"/>
    <w:rsid w:val="00FC6F8B"/>
    <w:rsid w:val="00FC788D"/>
    <w:rsid w:val="00FC7C2A"/>
    <w:rsid w:val="00FD0489"/>
    <w:rsid w:val="00FD060F"/>
    <w:rsid w:val="00FD0A2E"/>
    <w:rsid w:val="00FD0B45"/>
    <w:rsid w:val="00FD2074"/>
    <w:rsid w:val="00FD585C"/>
    <w:rsid w:val="00FD5EBA"/>
    <w:rsid w:val="00FD6BF6"/>
    <w:rsid w:val="00FD7B7E"/>
    <w:rsid w:val="00FD7C0C"/>
    <w:rsid w:val="00FE4F2D"/>
    <w:rsid w:val="00FE559B"/>
    <w:rsid w:val="00FE5653"/>
    <w:rsid w:val="00FF03EA"/>
    <w:rsid w:val="00FF2BA3"/>
    <w:rsid w:val="04EA41AC"/>
    <w:rsid w:val="072B5261"/>
    <w:rsid w:val="07383789"/>
    <w:rsid w:val="08827408"/>
    <w:rsid w:val="09480230"/>
    <w:rsid w:val="0F5650AD"/>
    <w:rsid w:val="10F83202"/>
    <w:rsid w:val="1168513A"/>
    <w:rsid w:val="166167A3"/>
    <w:rsid w:val="1CB0599A"/>
    <w:rsid w:val="208B3817"/>
    <w:rsid w:val="24FF2A32"/>
    <w:rsid w:val="292E1044"/>
    <w:rsid w:val="30D713B2"/>
    <w:rsid w:val="33C54D19"/>
    <w:rsid w:val="36AB574D"/>
    <w:rsid w:val="435108C9"/>
    <w:rsid w:val="44483BEC"/>
    <w:rsid w:val="474D0CB3"/>
    <w:rsid w:val="47BE006B"/>
    <w:rsid w:val="4E8D3479"/>
    <w:rsid w:val="4F545E60"/>
    <w:rsid w:val="51D363A1"/>
    <w:rsid w:val="5330751F"/>
    <w:rsid w:val="57805D82"/>
    <w:rsid w:val="57FB5AD8"/>
    <w:rsid w:val="5B1442D4"/>
    <w:rsid w:val="6522472E"/>
    <w:rsid w:val="6892510E"/>
    <w:rsid w:val="6D2D3E5E"/>
    <w:rsid w:val="6D8C20BB"/>
    <w:rsid w:val="6F932203"/>
    <w:rsid w:val="720D10E2"/>
    <w:rsid w:val="75D049D4"/>
    <w:rsid w:val="7C452C70"/>
    <w:rsid w:val="7DEF71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7"/>
    <w:qFormat/>
    <w:uiPriority w:val="9"/>
    <w:pPr>
      <w:keepNext/>
      <w:keepLines/>
      <w:numPr>
        <w:ilvl w:val="0"/>
        <w:numId w:val="1"/>
      </w:numPr>
      <w:tabs>
        <w:tab w:val="left" w:pos="425"/>
      </w:tabs>
      <w:spacing w:before="340" w:after="330" w:line="576" w:lineRule="auto"/>
      <w:outlineLvl w:val="0"/>
    </w:pPr>
    <w:rPr>
      <w:b/>
      <w:kern w:val="44"/>
      <w:sz w:val="44"/>
    </w:rPr>
  </w:style>
  <w:style w:type="paragraph" w:styleId="3">
    <w:name w:val="heading 2"/>
    <w:basedOn w:val="1"/>
    <w:next w:val="1"/>
    <w:link w:val="58"/>
    <w:qFormat/>
    <w:uiPriority w:val="9"/>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59"/>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60"/>
    <w:qFormat/>
    <w:uiPriority w:val="9"/>
    <w:pPr>
      <w:keepNext/>
      <w:keepLines/>
      <w:numPr>
        <w:ilvl w:val="3"/>
        <w:numId w:val="1"/>
      </w:numPr>
      <w:spacing w:before="200"/>
      <w:outlineLvl w:val="3"/>
    </w:pPr>
    <w:rPr>
      <w:rFonts w:ascii="Cambria" w:hAnsi="Cambria"/>
      <w:b/>
      <w:bCs/>
      <w:i/>
      <w:iCs/>
      <w:color w:val="4F81BD"/>
    </w:rPr>
  </w:style>
  <w:style w:type="paragraph" w:styleId="6">
    <w:name w:val="heading 5"/>
    <w:basedOn w:val="1"/>
    <w:next w:val="1"/>
    <w:link w:val="61"/>
    <w:qFormat/>
    <w:uiPriority w:val="9"/>
    <w:pPr>
      <w:keepNext/>
      <w:keepLines/>
      <w:numPr>
        <w:ilvl w:val="4"/>
        <w:numId w:val="1"/>
      </w:numPr>
      <w:spacing w:before="200"/>
      <w:outlineLvl w:val="4"/>
    </w:pPr>
    <w:rPr>
      <w:rFonts w:ascii="Cambria" w:hAnsi="Cambria"/>
      <w:color w:val="243F60"/>
    </w:rPr>
  </w:style>
  <w:style w:type="paragraph" w:styleId="7">
    <w:name w:val="heading 6"/>
    <w:basedOn w:val="1"/>
    <w:next w:val="1"/>
    <w:link w:val="62"/>
    <w:qFormat/>
    <w:uiPriority w:val="9"/>
    <w:pPr>
      <w:keepNext/>
      <w:keepLines/>
      <w:numPr>
        <w:ilvl w:val="5"/>
        <w:numId w:val="1"/>
      </w:numPr>
      <w:spacing w:before="200"/>
      <w:outlineLvl w:val="5"/>
    </w:pPr>
    <w:rPr>
      <w:rFonts w:ascii="Cambria" w:hAnsi="Cambria"/>
      <w:i/>
      <w:iCs/>
      <w:color w:val="243F60"/>
    </w:rPr>
  </w:style>
  <w:style w:type="paragraph" w:styleId="8">
    <w:name w:val="heading 7"/>
    <w:basedOn w:val="1"/>
    <w:next w:val="1"/>
    <w:link w:val="63"/>
    <w:qFormat/>
    <w:uiPriority w:val="9"/>
    <w:pPr>
      <w:keepNext/>
      <w:keepLines/>
      <w:numPr>
        <w:ilvl w:val="6"/>
        <w:numId w:val="1"/>
      </w:numPr>
      <w:spacing w:before="200"/>
      <w:outlineLvl w:val="6"/>
    </w:pPr>
    <w:rPr>
      <w:rFonts w:ascii="Cambria" w:hAnsi="Cambria"/>
      <w:i/>
      <w:iCs/>
      <w:color w:val="404040"/>
    </w:rPr>
  </w:style>
  <w:style w:type="paragraph" w:styleId="9">
    <w:name w:val="heading 8"/>
    <w:basedOn w:val="1"/>
    <w:next w:val="1"/>
    <w:link w:val="64"/>
    <w:qFormat/>
    <w:uiPriority w:val="9"/>
    <w:pPr>
      <w:keepNext/>
      <w:keepLines/>
      <w:numPr>
        <w:ilvl w:val="7"/>
        <w:numId w:val="1"/>
      </w:numPr>
      <w:spacing w:before="200"/>
      <w:outlineLvl w:val="7"/>
    </w:pPr>
    <w:rPr>
      <w:rFonts w:ascii="Cambria" w:hAnsi="Cambria"/>
      <w:color w:val="404040"/>
      <w:sz w:val="20"/>
    </w:rPr>
  </w:style>
  <w:style w:type="paragraph" w:styleId="10">
    <w:name w:val="heading 9"/>
    <w:basedOn w:val="1"/>
    <w:next w:val="1"/>
    <w:link w:val="65"/>
    <w:qFormat/>
    <w:uiPriority w:val="9"/>
    <w:pPr>
      <w:keepNext/>
      <w:keepLines/>
      <w:numPr>
        <w:ilvl w:val="8"/>
        <w:numId w:val="1"/>
      </w:numPr>
      <w:spacing w:before="200"/>
      <w:outlineLvl w:val="8"/>
    </w:pPr>
    <w:rPr>
      <w:rFonts w:ascii="Cambria" w:hAnsi="Cambria"/>
      <w:i/>
      <w:iCs/>
      <w:color w:val="404040"/>
      <w:sz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sz w:val="18"/>
      <w:szCs w:val="18"/>
    </w:rPr>
  </w:style>
  <w:style w:type="paragraph" w:styleId="12">
    <w:name w:val="Normal Indent"/>
    <w:basedOn w:val="1"/>
    <w:qFormat/>
    <w:uiPriority w:val="0"/>
    <w:pPr>
      <w:spacing w:line="360" w:lineRule="auto"/>
      <w:ind w:firstLine="420"/>
    </w:pPr>
    <w:rPr>
      <w:sz w:val="24"/>
    </w:rPr>
  </w:style>
  <w:style w:type="paragraph" w:styleId="13">
    <w:name w:val="caption"/>
    <w:basedOn w:val="14"/>
    <w:next w:val="14"/>
    <w:unhideWhenUsed/>
    <w:qFormat/>
    <w:uiPriority w:val="35"/>
    <w:pPr>
      <w:ind w:firstLine="0" w:firstLineChars="0"/>
      <w:jc w:val="center"/>
    </w:pPr>
    <w:rPr>
      <w:sz w:val="21"/>
      <w:szCs w:val="20"/>
    </w:rPr>
  </w:style>
  <w:style w:type="paragraph" w:customStyle="1" w:styleId="14">
    <w:name w:val="我的正文"/>
    <w:basedOn w:val="1"/>
    <w:qFormat/>
    <w:uiPriority w:val="0"/>
    <w:pPr>
      <w:spacing w:line="360" w:lineRule="auto"/>
      <w:ind w:firstLine="200" w:firstLineChars="200"/>
      <w:jc w:val="left"/>
    </w:pPr>
    <w:rPr>
      <w:sz w:val="24"/>
      <w:szCs w:val="32"/>
    </w:rPr>
  </w:style>
  <w:style w:type="paragraph" w:styleId="15">
    <w:name w:val="Document Map"/>
    <w:basedOn w:val="1"/>
    <w:link w:val="85"/>
    <w:qFormat/>
    <w:uiPriority w:val="99"/>
    <w:pPr>
      <w:shd w:val="clear" w:color="auto" w:fill="000080"/>
    </w:pPr>
    <w:rPr>
      <w:sz w:val="2"/>
    </w:rPr>
  </w:style>
  <w:style w:type="paragraph" w:styleId="16">
    <w:name w:val="annotation text"/>
    <w:basedOn w:val="1"/>
    <w:link w:val="83"/>
    <w:qFormat/>
    <w:uiPriority w:val="0"/>
    <w:pPr>
      <w:jc w:val="left"/>
    </w:pPr>
  </w:style>
  <w:style w:type="paragraph" w:styleId="17">
    <w:name w:val="Body Text 3"/>
    <w:basedOn w:val="1"/>
    <w:link w:val="213"/>
    <w:qFormat/>
    <w:uiPriority w:val="0"/>
    <w:pPr>
      <w:widowControl/>
      <w:spacing w:after="120" w:line="360" w:lineRule="auto"/>
      <w:jc w:val="left"/>
    </w:pPr>
    <w:rPr>
      <w:kern w:val="0"/>
      <w:sz w:val="16"/>
      <w:szCs w:val="16"/>
    </w:rPr>
  </w:style>
  <w:style w:type="paragraph" w:styleId="18">
    <w:name w:val="Body Text"/>
    <w:basedOn w:val="1"/>
    <w:link w:val="108"/>
    <w:qFormat/>
    <w:uiPriority w:val="0"/>
    <w:pPr>
      <w:spacing w:after="120"/>
    </w:pPr>
  </w:style>
  <w:style w:type="paragraph" w:styleId="19">
    <w:name w:val="Body Text Indent"/>
    <w:basedOn w:val="1"/>
    <w:link w:val="87"/>
    <w:qFormat/>
    <w:uiPriority w:val="0"/>
    <w:pPr>
      <w:ind w:firstLine="420" w:firstLineChars="200"/>
    </w:pPr>
  </w:style>
  <w:style w:type="paragraph" w:styleId="20">
    <w:name w:val="List 2"/>
    <w:basedOn w:val="1"/>
    <w:qFormat/>
    <w:uiPriority w:val="0"/>
    <w:pPr>
      <w:ind w:left="100" w:leftChars="200" w:hanging="200" w:hangingChars="200"/>
    </w:pPr>
    <w:rPr>
      <w:szCs w:val="24"/>
    </w:rPr>
  </w:style>
  <w:style w:type="paragraph" w:styleId="21">
    <w:name w:val="toc 5"/>
    <w:basedOn w:val="1"/>
    <w:next w:val="1"/>
    <w:qFormat/>
    <w:uiPriority w:val="39"/>
    <w:pPr>
      <w:ind w:left="840"/>
      <w:jc w:val="left"/>
    </w:pPr>
    <w:rPr>
      <w:sz w:val="18"/>
      <w:szCs w:val="18"/>
    </w:rPr>
  </w:style>
  <w:style w:type="paragraph" w:styleId="22">
    <w:name w:val="toc 3"/>
    <w:basedOn w:val="1"/>
    <w:next w:val="1"/>
    <w:qFormat/>
    <w:uiPriority w:val="39"/>
    <w:pPr>
      <w:ind w:left="420"/>
      <w:jc w:val="left"/>
    </w:pPr>
    <w:rPr>
      <w:i/>
      <w:iCs/>
      <w:sz w:val="20"/>
    </w:rPr>
  </w:style>
  <w:style w:type="paragraph" w:styleId="23">
    <w:name w:val="Plain Text"/>
    <w:basedOn w:val="1"/>
    <w:link w:val="70"/>
    <w:qFormat/>
    <w:uiPriority w:val="0"/>
    <w:rPr>
      <w:rFonts w:ascii="宋体" w:hAnsi="Courier New"/>
      <w:szCs w:val="21"/>
    </w:rPr>
  </w:style>
  <w:style w:type="paragraph" w:styleId="24">
    <w:name w:val="toc 8"/>
    <w:basedOn w:val="1"/>
    <w:next w:val="1"/>
    <w:qFormat/>
    <w:uiPriority w:val="39"/>
    <w:pPr>
      <w:ind w:left="1470"/>
      <w:jc w:val="left"/>
    </w:pPr>
    <w:rPr>
      <w:sz w:val="18"/>
      <w:szCs w:val="18"/>
    </w:rPr>
  </w:style>
  <w:style w:type="paragraph" w:styleId="25">
    <w:name w:val="Date"/>
    <w:basedOn w:val="1"/>
    <w:next w:val="1"/>
    <w:link w:val="88"/>
    <w:qFormat/>
    <w:uiPriority w:val="99"/>
  </w:style>
  <w:style w:type="paragraph" w:styleId="26">
    <w:name w:val="Body Text Indent 2"/>
    <w:basedOn w:val="1"/>
    <w:link w:val="99"/>
    <w:qFormat/>
    <w:uiPriority w:val="0"/>
    <w:pPr>
      <w:spacing w:after="120" w:line="480" w:lineRule="auto"/>
      <w:ind w:left="420" w:leftChars="200"/>
    </w:pPr>
  </w:style>
  <w:style w:type="paragraph" w:styleId="27">
    <w:name w:val="Balloon Text"/>
    <w:basedOn w:val="1"/>
    <w:link w:val="82"/>
    <w:semiHidden/>
    <w:unhideWhenUsed/>
    <w:qFormat/>
    <w:uiPriority w:val="99"/>
    <w:rPr>
      <w:sz w:val="18"/>
      <w:szCs w:val="18"/>
    </w:rPr>
  </w:style>
  <w:style w:type="paragraph" w:styleId="28">
    <w:name w:val="footer"/>
    <w:basedOn w:val="1"/>
    <w:link w:val="56"/>
    <w:unhideWhenUsed/>
    <w:qFormat/>
    <w:uiPriority w:val="99"/>
    <w:pPr>
      <w:tabs>
        <w:tab w:val="center" w:pos="4153"/>
        <w:tab w:val="right" w:pos="8306"/>
      </w:tabs>
      <w:snapToGrid w:val="0"/>
      <w:jc w:val="left"/>
    </w:pPr>
    <w:rPr>
      <w:sz w:val="18"/>
      <w:szCs w:val="18"/>
    </w:rPr>
  </w:style>
  <w:style w:type="paragraph" w:styleId="29">
    <w:name w:val="header"/>
    <w:basedOn w:val="1"/>
    <w:link w:val="55"/>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left" w:pos="420"/>
        <w:tab w:val="right" w:leader="dot" w:pos="8302"/>
      </w:tabs>
      <w:spacing w:line="360" w:lineRule="auto"/>
      <w:jc w:val="center"/>
    </w:pPr>
    <w:rPr>
      <w:bCs/>
      <w:kern w:val="44"/>
      <w:sz w:val="24"/>
      <w:szCs w:val="24"/>
    </w:rPr>
  </w:style>
  <w:style w:type="paragraph" w:styleId="31">
    <w:name w:val="toc 4"/>
    <w:basedOn w:val="1"/>
    <w:next w:val="1"/>
    <w:qFormat/>
    <w:uiPriority w:val="39"/>
    <w:pPr>
      <w:ind w:left="630"/>
      <w:jc w:val="left"/>
    </w:pPr>
    <w:rPr>
      <w:sz w:val="18"/>
      <w:szCs w:val="18"/>
    </w:rPr>
  </w:style>
  <w:style w:type="paragraph" w:styleId="32">
    <w:name w:val="Subtitle"/>
    <w:basedOn w:val="1"/>
    <w:next w:val="1"/>
    <w:link w:val="417"/>
    <w:qFormat/>
    <w:uiPriority w:val="11"/>
    <w:pPr>
      <w:spacing w:before="240" w:after="60" w:line="312" w:lineRule="auto"/>
      <w:jc w:val="left"/>
      <w:outlineLvl w:val="1"/>
    </w:pPr>
    <w:rPr>
      <w:rFonts w:asciiTheme="majorHAnsi" w:hAnsiTheme="majorHAnsi" w:cstheme="majorBidi"/>
      <w:b/>
      <w:bCs/>
      <w:kern w:val="28"/>
      <w:sz w:val="32"/>
      <w:szCs w:val="32"/>
    </w:rPr>
  </w:style>
  <w:style w:type="paragraph" w:styleId="33">
    <w:name w:val="List"/>
    <w:basedOn w:val="1"/>
    <w:qFormat/>
    <w:uiPriority w:val="0"/>
    <w:pPr>
      <w:widowControl/>
      <w:spacing w:line="360" w:lineRule="auto"/>
      <w:ind w:left="420" w:hanging="420"/>
      <w:jc w:val="left"/>
    </w:pPr>
    <w:rPr>
      <w:kern w:val="0"/>
      <w:sz w:val="20"/>
      <w:szCs w:val="24"/>
    </w:rPr>
  </w:style>
  <w:style w:type="paragraph" w:styleId="34">
    <w:name w:val="toc 6"/>
    <w:basedOn w:val="1"/>
    <w:next w:val="1"/>
    <w:qFormat/>
    <w:uiPriority w:val="39"/>
    <w:pPr>
      <w:ind w:left="1050"/>
      <w:jc w:val="left"/>
    </w:pPr>
    <w:rPr>
      <w:sz w:val="18"/>
      <w:szCs w:val="18"/>
    </w:rPr>
  </w:style>
  <w:style w:type="paragraph" w:styleId="35">
    <w:name w:val="Body Text Indent 3"/>
    <w:basedOn w:val="1"/>
    <w:link w:val="98"/>
    <w:qFormat/>
    <w:uiPriority w:val="0"/>
    <w:pPr>
      <w:spacing w:line="300" w:lineRule="auto"/>
      <w:ind w:firstLine="435"/>
    </w:pPr>
    <w:rPr>
      <w:sz w:val="16"/>
      <w:szCs w:val="16"/>
    </w:rPr>
  </w:style>
  <w:style w:type="paragraph" w:styleId="36">
    <w:name w:val="toc 2"/>
    <w:basedOn w:val="1"/>
    <w:next w:val="1"/>
    <w:qFormat/>
    <w:uiPriority w:val="39"/>
    <w:pPr>
      <w:tabs>
        <w:tab w:val="right" w:leader="dot" w:pos="8296"/>
      </w:tabs>
      <w:spacing w:line="360" w:lineRule="auto"/>
      <w:ind w:left="210"/>
      <w:jc w:val="left"/>
    </w:pPr>
    <w:rPr>
      <w:rFonts w:eastAsia="黑体"/>
      <w:bCs/>
      <w:smallCaps/>
      <w:sz w:val="24"/>
      <w:szCs w:val="24"/>
    </w:rPr>
  </w:style>
  <w:style w:type="paragraph" w:styleId="37">
    <w:name w:val="toc 9"/>
    <w:basedOn w:val="1"/>
    <w:next w:val="1"/>
    <w:qFormat/>
    <w:uiPriority w:val="39"/>
    <w:pPr>
      <w:ind w:left="1680"/>
      <w:jc w:val="left"/>
    </w:pPr>
    <w:rPr>
      <w:sz w:val="18"/>
      <w:szCs w:val="18"/>
    </w:rPr>
  </w:style>
  <w:style w:type="paragraph" w:styleId="38">
    <w:name w:val="Body Text 2"/>
    <w:basedOn w:val="1"/>
    <w:link w:val="141"/>
    <w:qFormat/>
    <w:uiPriority w:val="0"/>
    <w:pPr>
      <w:spacing w:after="120" w:line="480" w:lineRule="auto"/>
    </w:pPr>
  </w:style>
  <w:style w:type="paragraph" w:styleId="39">
    <w:name w:val="HTML Preformatted"/>
    <w:basedOn w:val="1"/>
    <w:link w:val="12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rPr>
  </w:style>
  <w:style w:type="paragraph" w:styleId="40">
    <w:name w:val="Normal (Web)"/>
    <w:basedOn w:val="1"/>
    <w:qFormat/>
    <w:uiPriority w:val="99"/>
    <w:pPr>
      <w:widowControl/>
      <w:spacing w:before="100" w:beforeAutospacing="1" w:after="100" w:afterAutospacing="1" w:line="314" w:lineRule="atLeast"/>
      <w:jc w:val="left"/>
    </w:pPr>
    <w:rPr>
      <w:rFonts w:ascii="宋体" w:hAnsi="宋体" w:cs="宋体"/>
      <w:kern w:val="0"/>
      <w:sz w:val="22"/>
      <w:szCs w:val="22"/>
    </w:rPr>
  </w:style>
  <w:style w:type="paragraph" w:styleId="41">
    <w:name w:val="index 1"/>
    <w:basedOn w:val="1"/>
    <w:next w:val="1"/>
    <w:qFormat/>
    <w:uiPriority w:val="0"/>
    <w:pPr>
      <w:spacing w:line="360" w:lineRule="auto"/>
    </w:pPr>
    <w:rPr>
      <w:sz w:val="24"/>
      <w:szCs w:val="24"/>
    </w:rPr>
  </w:style>
  <w:style w:type="paragraph" w:styleId="42">
    <w:name w:val="Title"/>
    <w:basedOn w:val="1"/>
    <w:next w:val="1"/>
    <w:link w:val="379"/>
    <w:qFormat/>
    <w:uiPriority w:val="0"/>
    <w:pPr>
      <w:widowControl/>
      <w:spacing w:before="240" w:after="60" w:line="276" w:lineRule="auto"/>
      <w:jc w:val="center"/>
      <w:outlineLvl w:val="0"/>
    </w:pPr>
    <w:rPr>
      <w:rFonts w:ascii="Cambria" w:hAnsi="Cambria"/>
      <w:b/>
      <w:bCs/>
      <w:kern w:val="28"/>
      <w:sz w:val="32"/>
      <w:szCs w:val="32"/>
    </w:rPr>
  </w:style>
  <w:style w:type="paragraph" w:styleId="43">
    <w:name w:val="annotation subject"/>
    <w:basedOn w:val="16"/>
    <w:next w:val="16"/>
    <w:link w:val="84"/>
    <w:qFormat/>
    <w:uiPriority w:val="0"/>
    <w:rPr>
      <w:b/>
      <w:bCs/>
    </w:rPr>
  </w:style>
  <w:style w:type="paragraph" w:styleId="44">
    <w:name w:val="Body Text First Indent"/>
    <w:basedOn w:val="18"/>
    <w:link w:val="120"/>
    <w:qFormat/>
    <w:uiPriority w:val="0"/>
    <w:pPr>
      <w:ind w:firstLine="420" w:firstLineChars="100"/>
    </w:pPr>
    <w:rPr>
      <w:szCs w:val="24"/>
    </w:rPr>
  </w:style>
  <w:style w:type="table" w:styleId="46">
    <w:name w:val="Table Grid"/>
    <w:basedOn w:val="45"/>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Classic 1"/>
    <w:basedOn w:val="45"/>
    <w:qFormat/>
    <w:uiPriority w:val="0"/>
    <w:pPr>
      <w:widowControl w:val="0"/>
      <w:jc w:val="both"/>
    </w:pPr>
    <w:rPr>
      <w:rFonts w:ascii="Times New Roman" w:hAnsi="Times New Roman" w:eastAsia="宋体" w:cs="Times New Roman"/>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49">
    <w:name w:val="Strong"/>
    <w:qFormat/>
    <w:uiPriority w:val="22"/>
    <w:rPr>
      <w:rFonts w:cs="Times New Roman"/>
      <w:b/>
    </w:rPr>
  </w:style>
  <w:style w:type="character" w:styleId="50">
    <w:name w:val="page number"/>
    <w:qFormat/>
    <w:uiPriority w:val="99"/>
    <w:rPr>
      <w:rFonts w:cs="Times New Roman"/>
    </w:rPr>
  </w:style>
  <w:style w:type="character" w:styleId="51">
    <w:name w:val="FollowedHyperlink"/>
    <w:qFormat/>
    <w:uiPriority w:val="99"/>
    <w:rPr>
      <w:rFonts w:cs="Times New Roman"/>
      <w:color w:val="800080"/>
      <w:u w:val="single"/>
    </w:rPr>
  </w:style>
  <w:style w:type="character" w:styleId="52">
    <w:name w:val="Emphasis"/>
    <w:qFormat/>
    <w:uiPriority w:val="0"/>
    <w:rPr>
      <w:i/>
      <w:iCs/>
    </w:rPr>
  </w:style>
  <w:style w:type="character" w:styleId="53">
    <w:name w:val="Hyperlink"/>
    <w:qFormat/>
    <w:uiPriority w:val="99"/>
    <w:rPr>
      <w:rFonts w:cs="Times New Roman"/>
      <w:color w:val="0000FF"/>
      <w:u w:val="single"/>
    </w:rPr>
  </w:style>
  <w:style w:type="character" w:styleId="54">
    <w:name w:val="annotation reference"/>
    <w:qFormat/>
    <w:uiPriority w:val="0"/>
    <w:rPr>
      <w:rFonts w:cs="Times New Roman"/>
      <w:sz w:val="21"/>
    </w:rPr>
  </w:style>
  <w:style w:type="character" w:customStyle="1" w:styleId="55">
    <w:name w:val="页眉 字符"/>
    <w:basedOn w:val="48"/>
    <w:link w:val="29"/>
    <w:qFormat/>
    <w:uiPriority w:val="99"/>
    <w:rPr>
      <w:sz w:val="18"/>
      <w:szCs w:val="18"/>
    </w:rPr>
  </w:style>
  <w:style w:type="character" w:customStyle="1" w:styleId="56">
    <w:name w:val="页脚 字符"/>
    <w:basedOn w:val="48"/>
    <w:link w:val="28"/>
    <w:qFormat/>
    <w:uiPriority w:val="99"/>
    <w:rPr>
      <w:sz w:val="18"/>
      <w:szCs w:val="18"/>
    </w:rPr>
  </w:style>
  <w:style w:type="character" w:customStyle="1" w:styleId="57">
    <w:name w:val="标题 1 字符"/>
    <w:basedOn w:val="48"/>
    <w:link w:val="2"/>
    <w:qFormat/>
    <w:uiPriority w:val="9"/>
    <w:rPr>
      <w:rFonts w:ascii="Times New Roman" w:hAnsi="Times New Roman" w:eastAsia="宋体" w:cs="Times New Roman"/>
      <w:b/>
      <w:kern w:val="44"/>
      <w:sz w:val="44"/>
    </w:rPr>
  </w:style>
  <w:style w:type="character" w:customStyle="1" w:styleId="58">
    <w:name w:val="标题 2 字符"/>
    <w:basedOn w:val="48"/>
    <w:link w:val="3"/>
    <w:qFormat/>
    <w:uiPriority w:val="9"/>
    <w:rPr>
      <w:rFonts w:ascii="Arial" w:hAnsi="Arial" w:eastAsia="黑体" w:cs="Times New Roman"/>
      <w:b/>
      <w:bCs/>
      <w:kern w:val="2"/>
      <w:sz w:val="32"/>
      <w:szCs w:val="32"/>
    </w:rPr>
  </w:style>
  <w:style w:type="character" w:customStyle="1" w:styleId="59">
    <w:name w:val="标题 3 字符"/>
    <w:basedOn w:val="48"/>
    <w:link w:val="4"/>
    <w:qFormat/>
    <w:uiPriority w:val="9"/>
    <w:rPr>
      <w:rFonts w:ascii="Times New Roman" w:hAnsi="Times New Roman" w:eastAsia="宋体" w:cs="Times New Roman"/>
      <w:b/>
      <w:bCs/>
      <w:kern w:val="2"/>
      <w:sz w:val="32"/>
      <w:szCs w:val="32"/>
    </w:rPr>
  </w:style>
  <w:style w:type="character" w:customStyle="1" w:styleId="60">
    <w:name w:val="标题 4 字符"/>
    <w:basedOn w:val="48"/>
    <w:link w:val="5"/>
    <w:qFormat/>
    <w:uiPriority w:val="9"/>
    <w:rPr>
      <w:rFonts w:ascii="Cambria" w:hAnsi="Cambria" w:eastAsia="宋体" w:cs="Times New Roman"/>
      <w:b/>
      <w:bCs/>
      <w:i/>
      <w:iCs/>
      <w:color w:val="4F81BD"/>
      <w:kern w:val="2"/>
      <w:sz w:val="21"/>
    </w:rPr>
  </w:style>
  <w:style w:type="character" w:customStyle="1" w:styleId="61">
    <w:name w:val="标题 5 字符"/>
    <w:basedOn w:val="48"/>
    <w:link w:val="6"/>
    <w:qFormat/>
    <w:uiPriority w:val="9"/>
    <w:rPr>
      <w:rFonts w:ascii="Cambria" w:hAnsi="Cambria" w:eastAsia="宋体" w:cs="Times New Roman"/>
      <w:color w:val="243F60"/>
      <w:kern w:val="2"/>
      <w:sz w:val="21"/>
    </w:rPr>
  </w:style>
  <w:style w:type="character" w:customStyle="1" w:styleId="62">
    <w:name w:val="标题 6 字符"/>
    <w:basedOn w:val="48"/>
    <w:link w:val="7"/>
    <w:qFormat/>
    <w:uiPriority w:val="9"/>
    <w:rPr>
      <w:rFonts w:ascii="Cambria" w:hAnsi="Cambria" w:eastAsia="宋体" w:cs="Times New Roman"/>
      <w:i/>
      <w:iCs/>
      <w:color w:val="243F60"/>
      <w:kern w:val="2"/>
      <w:sz w:val="21"/>
    </w:rPr>
  </w:style>
  <w:style w:type="character" w:customStyle="1" w:styleId="63">
    <w:name w:val="标题 7 字符"/>
    <w:basedOn w:val="48"/>
    <w:link w:val="8"/>
    <w:qFormat/>
    <w:uiPriority w:val="9"/>
    <w:rPr>
      <w:rFonts w:ascii="Cambria" w:hAnsi="Cambria" w:eastAsia="宋体" w:cs="Times New Roman"/>
      <w:i/>
      <w:iCs/>
      <w:color w:val="404040"/>
      <w:kern w:val="2"/>
      <w:sz w:val="21"/>
    </w:rPr>
  </w:style>
  <w:style w:type="character" w:customStyle="1" w:styleId="64">
    <w:name w:val="标题 8 字符"/>
    <w:basedOn w:val="48"/>
    <w:link w:val="9"/>
    <w:qFormat/>
    <w:uiPriority w:val="9"/>
    <w:rPr>
      <w:rFonts w:ascii="Cambria" w:hAnsi="Cambria" w:eastAsia="宋体" w:cs="Times New Roman"/>
      <w:color w:val="404040"/>
      <w:kern w:val="2"/>
    </w:rPr>
  </w:style>
  <w:style w:type="character" w:customStyle="1" w:styleId="65">
    <w:name w:val="标题 9 字符"/>
    <w:basedOn w:val="48"/>
    <w:link w:val="10"/>
    <w:qFormat/>
    <w:uiPriority w:val="9"/>
    <w:rPr>
      <w:rFonts w:ascii="Cambria" w:hAnsi="Cambria" w:eastAsia="宋体" w:cs="Times New Roman"/>
      <w:i/>
      <w:iCs/>
      <w:color w:val="404040"/>
      <w:kern w:val="2"/>
    </w:rPr>
  </w:style>
  <w:style w:type="paragraph" w:customStyle="1" w:styleId="66">
    <w:name w:val="Char1 Char Char Char"/>
    <w:basedOn w:val="1"/>
    <w:qFormat/>
    <w:uiPriority w:val="99"/>
    <w:pPr>
      <w:widowControl/>
      <w:spacing w:after="160" w:line="240" w:lineRule="exact"/>
      <w:ind w:firstLine="200" w:firstLineChars="200"/>
      <w:jc w:val="left"/>
    </w:pPr>
  </w:style>
  <w:style w:type="paragraph" w:customStyle="1" w:styleId="67">
    <w:name w:val="章"/>
    <w:basedOn w:val="1"/>
    <w:link w:val="68"/>
    <w:qFormat/>
    <w:uiPriority w:val="0"/>
    <w:pPr>
      <w:spacing w:beforeLines="100" w:afterLines="100" w:line="300" w:lineRule="auto"/>
      <w:jc w:val="center"/>
      <w:outlineLvl w:val="0"/>
    </w:pPr>
    <w:rPr>
      <w:b/>
      <w:sz w:val="28"/>
    </w:rPr>
  </w:style>
  <w:style w:type="character" w:customStyle="1" w:styleId="68">
    <w:name w:val="章 Char"/>
    <w:link w:val="67"/>
    <w:qFormat/>
    <w:locked/>
    <w:uiPriority w:val="99"/>
    <w:rPr>
      <w:rFonts w:ascii="Times New Roman" w:hAnsi="Times New Roman" w:eastAsia="宋体" w:cs="Times New Roman"/>
      <w:b/>
      <w:sz w:val="28"/>
      <w:szCs w:val="20"/>
    </w:rPr>
  </w:style>
  <w:style w:type="paragraph" w:customStyle="1" w:styleId="69">
    <w:name w:val="节"/>
    <w:basedOn w:val="1"/>
    <w:link w:val="209"/>
    <w:qFormat/>
    <w:uiPriority w:val="0"/>
    <w:pPr>
      <w:spacing w:beforeLines="100" w:afterLines="100" w:line="300" w:lineRule="auto"/>
      <w:jc w:val="center"/>
      <w:outlineLvl w:val="1"/>
    </w:pPr>
    <w:rPr>
      <w:b/>
      <w:sz w:val="24"/>
    </w:rPr>
  </w:style>
  <w:style w:type="character" w:customStyle="1" w:styleId="70">
    <w:name w:val="纯文本 字符"/>
    <w:basedOn w:val="48"/>
    <w:link w:val="23"/>
    <w:qFormat/>
    <w:uiPriority w:val="0"/>
    <w:rPr>
      <w:rFonts w:ascii="宋体" w:hAnsi="Courier New" w:eastAsia="宋体" w:cs="Times New Roman"/>
      <w:szCs w:val="21"/>
    </w:rPr>
  </w:style>
  <w:style w:type="paragraph" w:customStyle="1" w:styleId="71">
    <w:name w:val="Char Char Char Char Char Char Char"/>
    <w:basedOn w:val="1"/>
    <w:link w:val="166"/>
    <w:qFormat/>
    <w:uiPriority w:val="0"/>
    <w:pPr>
      <w:widowControl/>
      <w:spacing w:after="160" w:line="240" w:lineRule="exact"/>
      <w:jc w:val="left"/>
    </w:pPr>
    <w:rPr>
      <w:rFonts w:ascii="Arial" w:hAnsi="Arial"/>
      <w:b/>
      <w:kern w:val="0"/>
      <w:sz w:val="24"/>
      <w:lang w:eastAsia="en-US"/>
    </w:rPr>
  </w:style>
  <w:style w:type="paragraph" w:customStyle="1" w:styleId="72">
    <w:name w:val="注"/>
    <w:basedOn w:val="1"/>
    <w:link w:val="73"/>
    <w:qFormat/>
    <w:uiPriority w:val="99"/>
    <w:pPr>
      <w:ind w:left="788" w:leftChars="200" w:hanging="368" w:hangingChars="175"/>
    </w:pPr>
  </w:style>
  <w:style w:type="character" w:customStyle="1" w:styleId="73">
    <w:name w:val="注 Char"/>
    <w:link w:val="72"/>
    <w:qFormat/>
    <w:locked/>
    <w:uiPriority w:val="99"/>
    <w:rPr>
      <w:rFonts w:ascii="Times New Roman" w:hAnsi="Times New Roman" w:eastAsia="宋体" w:cs="Times New Roman"/>
      <w:szCs w:val="20"/>
    </w:rPr>
  </w:style>
  <w:style w:type="paragraph" w:customStyle="1" w:styleId="74">
    <w:name w:val="分条"/>
    <w:basedOn w:val="1"/>
    <w:link w:val="75"/>
    <w:qFormat/>
    <w:uiPriority w:val="0"/>
    <w:pPr>
      <w:spacing w:line="360" w:lineRule="auto"/>
      <w:ind w:firstLine="200" w:firstLineChars="200"/>
    </w:pPr>
    <w:rPr>
      <w:sz w:val="24"/>
    </w:rPr>
  </w:style>
  <w:style w:type="character" w:customStyle="1" w:styleId="75">
    <w:name w:val="分条 Char"/>
    <w:link w:val="74"/>
    <w:qFormat/>
    <w:locked/>
    <w:uiPriority w:val="0"/>
    <w:rPr>
      <w:rFonts w:ascii="Times New Roman" w:hAnsi="Times New Roman" w:eastAsia="宋体" w:cs="Times New Roman"/>
      <w:sz w:val="24"/>
      <w:szCs w:val="20"/>
    </w:rPr>
  </w:style>
  <w:style w:type="paragraph" w:customStyle="1" w:styleId="76">
    <w:name w:val="公式"/>
    <w:basedOn w:val="1"/>
    <w:link w:val="77"/>
    <w:qFormat/>
    <w:uiPriority w:val="0"/>
    <w:pPr>
      <w:spacing w:line="360" w:lineRule="auto"/>
      <w:jc w:val="right"/>
    </w:pPr>
    <w:rPr>
      <w:sz w:val="24"/>
    </w:rPr>
  </w:style>
  <w:style w:type="character" w:customStyle="1" w:styleId="77">
    <w:name w:val="公式 Char"/>
    <w:link w:val="76"/>
    <w:qFormat/>
    <w:locked/>
    <w:uiPriority w:val="0"/>
    <w:rPr>
      <w:rFonts w:ascii="Times New Roman" w:hAnsi="Times New Roman" w:eastAsia="宋体" w:cs="Times New Roman"/>
      <w:sz w:val="24"/>
      <w:szCs w:val="20"/>
    </w:rPr>
  </w:style>
  <w:style w:type="paragraph" w:customStyle="1" w:styleId="78">
    <w:name w:val="表"/>
    <w:basedOn w:val="1"/>
    <w:qFormat/>
    <w:uiPriority w:val="99"/>
    <w:pPr>
      <w:spacing w:line="300" w:lineRule="auto"/>
      <w:jc w:val="center"/>
    </w:pPr>
  </w:style>
  <w:style w:type="paragraph" w:customStyle="1" w:styleId="79">
    <w:name w:val="表头"/>
    <w:basedOn w:val="1"/>
    <w:qFormat/>
    <w:uiPriority w:val="99"/>
    <w:pPr>
      <w:spacing w:beforeLines="50" w:afterLines="50" w:line="300" w:lineRule="auto"/>
      <w:jc w:val="center"/>
    </w:pPr>
    <w:rPr>
      <w:b/>
    </w:rPr>
  </w:style>
  <w:style w:type="paragraph" w:customStyle="1" w:styleId="80">
    <w:name w:val="条文1"/>
    <w:basedOn w:val="1"/>
    <w:qFormat/>
    <w:uiPriority w:val="99"/>
    <w:pPr>
      <w:spacing w:line="240" w:lineRule="atLeast"/>
      <w:ind w:firstLine="454"/>
    </w:pPr>
    <w:rPr>
      <w:sz w:val="24"/>
    </w:rPr>
  </w:style>
  <w:style w:type="paragraph" w:customStyle="1" w:styleId="81">
    <w:name w:val="条文"/>
    <w:basedOn w:val="1"/>
    <w:qFormat/>
    <w:uiPriority w:val="99"/>
    <w:pPr>
      <w:spacing w:line="240" w:lineRule="atLeast"/>
    </w:pPr>
    <w:rPr>
      <w:sz w:val="24"/>
    </w:rPr>
  </w:style>
  <w:style w:type="character" w:customStyle="1" w:styleId="82">
    <w:name w:val="批注框文本 字符"/>
    <w:basedOn w:val="48"/>
    <w:link w:val="27"/>
    <w:semiHidden/>
    <w:qFormat/>
    <w:uiPriority w:val="99"/>
    <w:rPr>
      <w:rFonts w:ascii="Times New Roman" w:hAnsi="Times New Roman" w:eastAsia="宋体" w:cs="Times New Roman"/>
      <w:sz w:val="18"/>
      <w:szCs w:val="18"/>
    </w:rPr>
  </w:style>
  <w:style w:type="character" w:customStyle="1" w:styleId="83">
    <w:name w:val="批注文字 字符"/>
    <w:basedOn w:val="48"/>
    <w:link w:val="16"/>
    <w:qFormat/>
    <w:uiPriority w:val="0"/>
    <w:rPr>
      <w:rFonts w:ascii="Times New Roman" w:hAnsi="Times New Roman" w:eastAsia="宋体" w:cs="Times New Roman"/>
      <w:szCs w:val="20"/>
    </w:rPr>
  </w:style>
  <w:style w:type="character" w:customStyle="1" w:styleId="84">
    <w:name w:val="批注主题 字符"/>
    <w:basedOn w:val="83"/>
    <w:link w:val="43"/>
    <w:qFormat/>
    <w:uiPriority w:val="0"/>
    <w:rPr>
      <w:rFonts w:ascii="Times New Roman" w:hAnsi="Times New Roman" w:eastAsia="宋体" w:cs="Times New Roman"/>
      <w:b/>
      <w:bCs/>
      <w:szCs w:val="20"/>
    </w:rPr>
  </w:style>
  <w:style w:type="character" w:customStyle="1" w:styleId="85">
    <w:name w:val="文档结构图 字符"/>
    <w:basedOn w:val="48"/>
    <w:link w:val="15"/>
    <w:qFormat/>
    <w:uiPriority w:val="99"/>
    <w:rPr>
      <w:rFonts w:ascii="Times New Roman" w:hAnsi="Times New Roman" w:eastAsia="宋体" w:cs="Times New Roman"/>
      <w:sz w:val="2"/>
      <w:szCs w:val="20"/>
      <w:shd w:val="clear" w:color="auto" w:fill="000080"/>
    </w:rPr>
  </w:style>
  <w:style w:type="paragraph" w:customStyle="1" w:styleId="86">
    <w:name w:val="标题3"/>
    <w:basedOn w:val="1"/>
    <w:qFormat/>
    <w:uiPriority w:val="99"/>
    <w:pPr>
      <w:adjustRightInd w:val="0"/>
      <w:spacing w:before="120" w:after="120"/>
      <w:jc w:val="center"/>
      <w:textAlignment w:val="baseline"/>
    </w:pPr>
    <w:rPr>
      <w:b/>
      <w:kern w:val="0"/>
      <w:sz w:val="18"/>
    </w:rPr>
  </w:style>
  <w:style w:type="character" w:customStyle="1" w:styleId="87">
    <w:name w:val="正文文本缩进 字符"/>
    <w:basedOn w:val="48"/>
    <w:link w:val="19"/>
    <w:qFormat/>
    <w:uiPriority w:val="0"/>
    <w:rPr>
      <w:rFonts w:ascii="Times New Roman" w:hAnsi="Times New Roman" w:eastAsia="宋体" w:cs="Times New Roman"/>
      <w:szCs w:val="20"/>
    </w:rPr>
  </w:style>
  <w:style w:type="character" w:customStyle="1" w:styleId="88">
    <w:name w:val="日期 字符"/>
    <w:basedOn w:val="48"/>
    <w:link w:val="25"/>
    <w:qFormat/>
    <w:uiPriority w:val="99"/>
    <w:rPr>
      <w:rFonts w:ascii="Times New Roman" w:hAnsi="Times New Roman" w:eastAsia="宋体" w:cs="Times New Roman"/>
      <w:szCs w:val="20"/>
    </w:rPr>
  </w:style>
  <w:style w:type="paragraph" w:customStyle="1" w:styleId="89">
    <w:name w:val="样式 小四 首行缩进:  0.85 厘米 行距: 固定值 20 磅"/>
    <w:basedOn w:val="1"/>
    <w:qFormat/>
    <w:uiPriority w:val="99"/>
    <w:pPr>
      <w:adjustRightInd w:val="0"/>
      <w:spacing w:line="360" w:lineRule="auto"/>
      <w:ind w:firstLine="482"/>
    </w:pPr>
    <w:rPr>
      <w:sz w:val="24"/>
    </w:rPr>
  </w:style>
  <w:style w:type="paragraph" w:customStyle="1" w:styleId="90">
    <w:name w:val="报告正文"/>
    <w:basedOn w:val="1"/>
    <w:qFormat/>
    <w:uiPriority w:val="99"/>
    <w:pPr>
      <w:snapToGrid w:val="0"/>
      <w:spacing w:line="400" w:lineRule="exact"/>
      <w:ind w:firstLine="482"/>
    </w:pPr>
    <w:rPr>
      <w:sz w:val="24"/>
    </w:rPr>
  </w:style>
  <w:style w:type="paragraph" w:customStyle="1" w:styleId="91">
    <w:name w:val="Char"/>
    <w:basedOn w:val="1"/>
    <w:qFormat/>
    <w:uiPriority w:val="99"/>
    <w:rPr>
      <w:sz w:val="28"/>
      <w:szCs w:val="28"/>
    </w:rPr>
  </w:style>
  <w:style w:type="character" w:customStyle="1" w:styleId="92">
    <w:name w:val="样式3 Char"/>
    <w:link w:val="93"/>
    <w:qFormat/>
    <w:locked/>
    <w:uiPriority w:val="99"/>
    <w:rPr>
      <w:rFonts w:ascii="宋体" w:hAnsi="宋体" w:eastAsia="宋体"/>
    </w:rPr>
  </w:style>
  <w:style w:type="paragraph" w:customStyle="1" w:styleId="93">
    <w:name w:val="样式3"/>
    <w:basedOn w:val="1"/>
    <w:link w:val="92"/>
    <w:qFormat/>
    <w:uiPriority w:val="99"/>
    <w:pPr>
      <w:ind w:firstLine="420"/>
      <w:jc w:val="left"/>
    </w:pPr>
    <w:rPr>
      <w:rFonts w:ascii="宋体" w:hAnsi="宋体" w:cstheme="minorBidi"/>
      <w:szCs w:val="22"/>
    </w:rPr>
  </w:style>
  <w:style w:type="character" w:customStyle="1" w:styleId="94">
    <w:name w:val="新条文 Char"/>
    <w:link w:val="95"/>
    <w:qFormat/>
    <w:locked/>
    <w:uiPriority w:val="99"/>
    <w:rPr>
      <w:sz w:val="24"/>
    </w:rPr>
  </w:style>
  <w:style w:type="paragraph" w:customStyle="1" w:styleId="95">
    <w:name w:val="新条文"/>
    <w:link w:val="94"/>
    <w:qFormat/>
    <w:uiPriority w:val="99"/>
    <w:pPr>
      <w:tabs>
        <w:tab w:val="left" w:pos="432"/>
        <w:tab w:val="left" w:pos="735"/>
      </w:tabs>
      <w:spacing w:line="400" w:lineRule="atLeast"/>
      <w:ind w:left="735" w:hanging="735"/>
    </w:pPr>
    <w:rPr>
      <w:rFonts w:asciiTheme="minorHAnsi" w:hAnsiTheme="minorHAnsi" w:eastAsiaTheme="minorEastAsia" w:cstheme="minorBidi"/>
      <w:kern w:val="2"/>
      <w:sz w:val="24"/>
      <w:szCs w:val="22"/>
      <w:lang w:val="en-US" w:eastAsia="zh-CN" w:bidi="ar-SA"/>
    </w:rPr>
  </w:style>
  <w:style w:type="character" w:customStyle="1" w:styleId="96">
    <w:name w:val="说明 Char1"/>
    <w:link w:val="97"/>
    <w:qFormat/>
    <w:locked/>
    <w:uiPriority w:val="99"/>
    <w:rPr>
      <w:rFonts w:ascii="楷体_GB2312" w:eastAsia="楷体_GB2312"/>
      <w:sz w:val="24"/>
    </w:rPr>
  </w:style>
  <w:style w:type="paragraph" w:customStyle="1" w:styleId="97">
    <w:name w:val="说明"/>
    <w:basedOn w:val="1"/>
    <w:link w:val="96"/>
    <w:qFormat/>
    <w:uiPriority w:val="99"/>
    <w:pPr>
      <w:spacing w:line="400" w:lineRule="atLeast"/>
    </w:pPr>
    <w:rPr>
      <w:rFonts w:ascii="楷体_GB2312" w:eastAsia="楷体_GB2312" w:hAnsiTheme="minorHAnsi" w:cstheme="minorBidi"/>
      <w:sz w:val="24"/>
      <w:szCs w:val="22"/>
    </w:rPr>
  </w:style>
  <w:style w:type="character" w:customStyle="1" w:styleId="98">
    <w:name w:val="正文文本缩进 3 字符"/>
    <w:basedOn w:val="48"/>
    <w:link w:val="35"/>
    <w:qFormat/>
    <w:uiPriority w:val="0"/>
    <w:rPr>
      <w:rFonts w:ascii="Times New Roman" w:hAnsi="Times New Roman" w:eastAsia="宋体" w:cs="Times New Roman"/>
      <w:sz w:val="16"/>
      <w:szCs w:val="16"/>
    </w:rPr>
  </w:style>
  <w:style w:type="character" w:customStyle="1" w:styleId="99">
    <w:name w:val="正文文本缩进 2 字符"/>
    <w:basedOn w:val="48"/>
    <w:link w:val="26"/>
    <w:qFormat/>
    <w:uiPriority w:val="0"/>
    <w:rPr>
      <w:rFonts w:ascii="Times New Roman" w:hAnsi="Times New Roman" w:eastAsia="宋体" w:cs="Times New Roman"/>
      <w:szCs w:val="20"/>
    </w:rPr>
  </w:style>
  <w:style w:type="paragraph" w:customStyle="1" w:styleId="100">
    <w:name w:val="段落样式"/>
    <w:basedOn w:val="1"/>
    <w:link w:val="101"/>
    <w:qFormat/>
    <w:uiPriority w:val="99"/>
    <w:pPr>
      <w:spacing w:line="400" w:lineRule="exact"/>
      <w:ind w:firstLine="480" w:firstLineChars="200"/>
    </w:pPr>
    <w:rPr>
      <w:sz w:val="24"/>
    </w:rPr>
  </w:style>
  <w:style w:type="character" w:customStyle="1" w:styleId="101">
    <w:name w:val="段落样式 Char"/>
    <w:link w:val="100"/>
    <w:qFormat/>
    <w:locked/>
    <w:uiPriority w:val="99"/>
    <w:rPr>
      <w:rFonts w:ascii="Times New Roman" w:hAnsi="Times New Roman" w:eastAsia="宋体" w:cs="Times New Roman"/>
      <w:sz w:val="24"/>
      <w:szCs w:val="20"/>
    </w:rPr>
  </w:style>
  <w:style w:type="paragraph" w:customStyle="1" w:styleId="102">
    <w:name w:val="样式7"/>
    <w:basedOn w:val="1"/>
    <w:qFormat/>
    <w:uiPriority w:val="99"/>
    <w:pPr>
      <w:ind w:firstLine="420"/>
    </w:pPr>
  </w:style>
  <w:style w:type="paragraph" w:customStyle="1" w:styleId="103">
    <w:name w:val="Char4"/>
    <w:basedOn w:val="1"/>
    <w:qFormat/>
    <w:uiPriority w:val="99"/>
    <w:rPr>
      <w:rFonts w:ascii="Tahoma" w:hAnsi="Tahoma"/>
      <w:sz w:val="24"/>
    </w:rPr>
  </w:style>
  <w:style w:type="paragraph" w:styleId="104">
    <w:name w:val="List Paragraph"/>
    <w:basedOn w:val="1"/>
    <w:link w:val="199"/>
    <w:qFormat/>
    <w:uiPriority w:val="1"/>
    <w:pPr>
      <w:spacing w:line="300" w:lineRule="auto"/>
      <w:ind w:firstLine="420" w:firstLineChars="200"/>
    </w:pPr>
    <w:rPr>
      <w:rFonts w:ascii="Calibri" w:hAnsi="Calibri"/>
      <w:szCs w:val="22"/>
    </w:rPr>
  </w:style>
  <w:style w:type="paragraph" w:customStyle="1" w:styleId="105">
    <w:name w:val="样式 正文首行缩进:  2 字符 + 宋体 首行缩进:  2 字符"/>
    <w:basedOn w:val="1"/>
    <w:qFormat/>
    <w:uiPriority w:val="99"/>
    <w:pPr>
      <w:spacing w:line="400" w:lineRule="exact"/>
      <w:ind w:firstLine="200" w:firstLineChars="200"/>
    </w:pPr>
    <w:rPr>
      <w:sz w:val="24"/>
      <w:szCs w:val="24"/>
    </w:rPr>
  </w:style>
  <w:style w:type="paragraph" w:customStyle="1" w:styleId="106">
    <w:name w:val="样式 正文首行缩进:  2 字符 + 首行缩进:  2 字符"/>
    <w:basedOn w:val="1"/>
    <w:qFormat/>
    <w:uiPriority w:val="99"/>
    <w:pPr>
      <w:spacing w:line="400" w:lineRule="exact"/>
      <w:ind w:firstLine="200" w:firstLineChars="200"/>
    </w:pPr>
    <w:rPr>
      <w:sz w:val="24"/>
    </w:rPr>
  </w:style>
  <w:style w:type="paragraph" w:customStyle="1" w:styleId="107">
    <w:name w:val="Char41"/>
    <w:basedOn w:val="1"/>
    <w:qFormat/>
    <w:uiPriority w:val="99"/>
    <w:rPr>
      <w:rFonts w:ascii="Tahoma" w:hAnsi="Tahoma"/>
      <w:sz w:val="24"/>
    </w:rPr>
  </w:style>
  <w:style w:type="character" w:customStyle="1" w:styleId="108">
    <w:name w:val="正文文本 字符"/>
    <w:basedOn w:val="48"/>
    <w:link w:val="18"/>
    <w:qFormat/>
    <w:uiPriority w:val="0"/>
    <w:rPr>
      <w:rFonts w:ascii="Times New Roman" w:hAnsi="Times New Roman" w:eastAsia="宋体" w:cs="Times New Roman"/>
      <w:szCs w:val="20"/>
    </w:rPr>
  </w:style>
  <w:style w:type="paragraph" w:customStyle="1" w:styleId="109">
    <w:name w:val="正文首行缩进:  2 字符"/>
    <w:basedOn w:val="18"/>
    <w:qFormat/>
    <w:uiPriority w:val="99"/>
    <w:pPr>
      <w:spacing w:line="398" w:lineRule="auto"/>
      <w:ind w:firstLine="200" w:firstLineChars="200"/>
    </w:pPr>
    <w:rPr>
      <w:sz w:val="24"/>
    </w:rPr>
  </w:style>
  <w:style w:type="paragraph" w:customStyle="1" w:styleId="110">
    <w:name w:val="Char1"/>
    <w:basedOn w:val="1"/>
    <w:qFormat/>
    <w:uiPriority w:val="99"/>
    <w:rPr>
      <w:szCs w:val="24"/>
    </w:rPr>
  </w:style>
  <w:style w:type="character" w:customStyle="1" w:styleId="111">
    <w:name w:val="三级标题标题无缩进 Char"/>
    <w:link w:val="112"/>
    <w:qFormat/>
    <w:locked/>
    <w:uiPriority w:val="99"/>
    <w:rPr>
      <w:rFonts w:eastAsia="宋体"/>
      <w:sz w:val="24"/>
    </w:rPr>
  </w:style>
  <w:style w:type="paragraph" w:customStyle="1" w:styleId="112">
    <w:name w:val="三级标题标题无缩进"/>
    <w:basedOn w:val="1"/>
    <w:link w:val="111"/>
    <w:qFormat/>
    <w:uiPriority w:val="99"/>
    <w:pPr>
      <w:snapToGrid w:val="0"/>
      <w:spacing w:line="400" w:lineRule="exact"/>
    </w:pPr>
    <w:rPr>
      <w:rFonts w:asciiTheme="minorHAnsi" w:hAnsiTheme="minorHAnsi" w:cstheme="minorBidi"/>
      <w:sz w:val="24"/>
      <w:szCs w:val="22"/>
    </w:rPr>
  </w:style>
  <w:style w:type="paragraph" w:customStyle="1" w:styleId="113">
    <w:name w:val="Char Char Char Char Char Char Char1"/>
    <w:basedOn w:val="1"/>
    <w:qFormat/>
    <w:uiPriority w:val="99"/>
    <w:pPr>
      <w:widowControl/>
      <w:spacing w:after="160" w:line="240" w:lineRule="exact"/>
      <w:jc w:val="left"/>
    </w:pPr>
    <w:rPr>
      <w:rFonts w:ascii="Arial" w:hAnsi="Arial" w:cs="Verdana"/>
      <w:b/>
      <w:kern w:val="0"/>
      <w:sz w:val="24"/>
      <w:szCs w:val="21"/>
      <w:lang w:eastAsia="en-US"/>
    </w:rPr>
  </w:style>
  <w:style w:type="character" w:customStyle="1" w:styleId="114">
    <w:name w:val="规范正文 Char"/>
    <w:link w:val="115"/>
    <w:qFormat/>
    <w:locked/>
    <w:uiPriority w:val="99"/>
    <w:rPr>
      <w:rFonts w:eastAsia="宋体"/>
    </w:rPr>
  </w:style>
  <w:style w:type="paragraph" w:customStyle="1" w:styleId="115">
    <w:name w:val="规范正文"/>
    <w:basedOn w:val="105"/>
    <w:link w:val="114"/>
    <w:qFormat/>
    <w:uiPriority w:val="0"/>
    <w:rPr>
      <w:rFonts w:asciiTheme="minorHAnsi" w:hAnsiTheme="minorHAnsi" w:cstheme="minorBidi"/>
      <w:sz w:val="21"/>
      <w:szCs w:val="22"/>
    </w:rPr>
  </w:style>
  <w:style w:type="character" w:customStyle="1" w:styleId="116">
    <w:name w:val="正文数字 Char"/>
    <w:link w:val="117"/>
    <w:qFormat/>
    <w:locked/>
    <w:uiPriority w:val="99"/>
    <w:rPr>
      <w:rFonts w:eastAsia="宋体"/>
      <w:b/>
      <w:sz w:val="24"/>
    </w:rPr>
  </w:style>
  <w:style w:type="paragraph" w:customStyle="1" w:styleId="117">
    <w:name w:val="正文数字"/>
    <w:basedOn w:val="112"/>
    <w:link w:val="116"/>
    <w:qFormat/>
    <w:uiPriority w:val="99"/>
    <w:rPr>
      <w:b/>
    </w:rPr>
  </w:style>
  <w:style w:type="character" w:customStyle="1" w:styleId="118">
    <w:name w:val="单独标题3 Char"/>
    <w:link w:val="119"/>
    <w:qFormat/>
    <w:locked/>
    <w:uiPriority w:val="99"/>
    <w:rPr>
      <w:rFonts w:ascii="Arial" w:hAnsi="Arial" w:eastAsia="黑体"/>
      <w:b/>
      <w:sz w:val="32"/>
    </w:rPr>
  </w:style>
  <w:style w:type="paragraph" w:customStyle="1" w:styleId="119">
    <w:name w:val="单独标题3"/>
    <w:basedOn w:val="1"/>
    <w:link w:val="118"/>
    <w:qFormat/>
    <w:uiPriority w:val="99"/>
    <w:pPr>
      <w:keepNext/>
      <w:keepLines/>
      <w:spacing w:before="260" w:after="260" w:line="413" w:lineRule="auto"/>
      <w:jc w:val="center"/>
      <w:outlineLvl w:val="1"/>
    </w:pPr>
    <w:rPr>
      <w:rFonts w:ascii="Arial" w:hAnsi="Arial" w:eastAsia="黑体" w:cstheme="minorBidi"/>
      <w:b/>
      <w:sz w:val="32"/>
      <w:szCs w:val="22"/>
    </w:rPr>
  </w:style>
  <w:style w:type="character" w:customStyle="1" w:styleId="120">
    <w:name w:val="正文文本首行缩进 字符"/>
    <w:basedOn w:val="108"/>
    <w:link w:val="44"/>
    <w:qFormat/>
    <w:uiPriority w:val="0"/>
    <w:rPr>
      <w:rFonts w:ascii="Times New Roman" w:hAnsi="Times New Roman" w:eastAsia="宋体" w:cs="Times New Roman"/>
      <w:szCs w:val="24"/>
    </w:rPr>
  </w:style>
  <w:style w:type="paragraph" w:customStyle="1" w:styleId="121">
    <w:name w:val="Char Char Char Char"/>
    <w:basedOn w:val="1"/>
    <w:qFormat/>
    <w:uiPriority w:val="99"/>
    <w:rPr>
      <w:rFonts w:ascii="Tahoma" w:hAnsi="Tahoma"/>
      <w:sz w:val="24"/>
    </w:rPr>
  </w:style>
  <w:style w:type="paragraph" w:customStyle="1" w:styleId="122">
    <w:name w:val="条文说明"/>
    <w:basedOn w:val="74"/>
    <w:qFormat/>
    <w:uiPriority w:val="0"/>
    <w:pPr>
      <w:ind w:firstLine="480"/>
    </w:pPr>
    <w:rPr>
      <w:rFonts w:eastAsia="仿宋_GB2312"/>
      <w:szCs w:val="24"/>
    </w:rPr>
  </w:style>
  <w:style w:type="character" w:customStyle="1" w:styleId="123">
    <w:name w:val="HTML 预设格式 字符"/>
    <w:basedOn w:val="48"/>
    <w:link w:val="39"/>
    <w:qFormat/>
    <w:uiPriority w:val="99"/>
    <w:rPr>
      <w:rFonts w:ascii="Courier New" w:hAnsi="Courier New" w:eastAsia="宋体" w:cs="Times New Roman"/>
      <w:sz w:val="20"/>
      <w:szCs w:val="20"/>
    </w:rPr>
  </w:style>
  <w:style w:type="character" w:customStyle="1" w:styleId="124">
    <w:name w:val="样式 标题 2 + 居中 Char"/>
    <w:link w:val="125"/>
    <w:qFormat/>
    <w:locked/>
    <w:uiPriority w:val="99"/>
    <w:rPr>
      <w:rFonts w:ascii="Arial" w:hAnsi="Arial" w:eastAsia="黑体"/>
      <w:b/>
      <w:kern w:val="2"/>
      <w:sz w:val="32"/>
      <w:szCs w:val="22"/>
    </w:rPr>
  </w:style>
  <w:style w:type="paragraph" w:customStyle="1" w:styleId="125">
    <w:name w:val="样式 标题 2 + 居中"/>
    <w:basedOn w:val="3"/>
    <w:link w:val="124"/>
    <w:qFormat/>
    <w:uiPriority w:val="99"/>
    <w:pPr>
      <w:spacing w:line="413" w:lineRule="auto"/>
      <w:jc w:val="center"/>
    </w:pPr>
    <w:rPr>
      <w:rFonts w:cstheme="minorBidi"/>
      <w:bCs w:val="0"/>
      <w:szCs w:val="22"/>
    </w:rPr>
  </w:style>
  <w:style w:type="paragraph" w:customStyle="1" w:styleId="126">
    <w:name w:val="样式 标题 1 + 二号 居中"/>
    <w:basedOn w:val="2"/>
    <w:qFormat/>
    <w:uiPriority w:val="99"/>
    <w:pPr>
      <w:tabs>
        <w:tab w:val="clear" w:pos="425"/>
      </w:tabs>
      <w:ind w:left="0" w:firstLine="0"/>
      <w:jc w:val="center"/>
    </w:pPr>
    <w:rPr>
      <w:rFonts w:cs="宋体"/>
      <w:bCs/>
    </w:rPr>
  </w:style>
  <w:style w:type="paragraph" w:customStyle="1" w:styleId="127">
    <w:name w:val="一太郎"/>
    <w:qFormat/>
    <w:uiPriority w:val="99"/>
    <w:pPr>
      <w:widowControl w:val="0"/>
      <w:wordWrap w:val="0"/>
      <w:autoSpaceDE w:val="0"/>
      <w:autoSpaceDN w:val="0"/>
      <w:adjustRightInd w:val="0"/>
      <w:spacing w:line="309" w:lineRule="exact"/>
      <w:jc w:val="both"/>
    </w:pPr>
    <w:rPr>
      <w:rFonts w:ascii="Times New Roman" w:hAnsi="Times New Roman" w:eastAsia="MS Mincho" w:cs="MS Mincho"/>
      <w:sz w:val="21"/>
      <w:szCs w:val="21"/>
      <w:lang w:val="en-US" w:eastAsia="ja-JP" w:bidi="ar-SA"/>
    </w:rPr>
  </w:style>
  <w:style w:type="paragraph" w:customStyle="1" w:styleId="128">
    <w:name w:val="Char Char Char Char Char Char"/>
    <w:basedOn w:val="1"/>
    <w:qFormat/>
    <w:uiPriority w:val="99"/>
    <w:pPr>
      <w:widowControl/>
      <w:spacing w:after="160" w:line="240" w:lineRule="exact"/>
      <w:ind w:firstLine="200" w:firstLineChars="200"/>
      <w:jc w:val="left"/>
    </w:pPr>
  </w:style>
  <w:style w:type="paragraph" w:customStyle="1" w:styleId="129">
    <w:name w:val="修订1"/>
    <w:hidden/>
    <w:semiHidden/>
    <w:uiPriority w:val="99"/>
    <w:rPr>
      <w:rFonts w:ascii="Times New Roman" w:hAnsi="Times New Roman" w:eastAsia="宋体" w:cs="Times New Roman"/>
      <w:kern w:val="2"/>
      <w:sz w:val="21"/>
      <w:lang w:val="en-US" w:eastAsia="zh-CN" w:bidi="ar-SA"/>
    </w:rPr>
  </w:style>
  <w:style w:type="paragraph" w:customStyle="1" w:styleId="130">
    <w:name w:val="Char Char Char Char Char Char Char Char Char Char Char Char Char Char Char"/>
    <w:basedOn w:val="1"/>
    <w:qFormat/>
    <w:uiPriority w:val="99"/>
    <w:pPr>
      <w:widowControl/>
      <w:spacing w:after="160" w:line="240" w:lineRule="exact"/>
      <w:ind w:firstLine="200" w:firstLineChars="200"/>
      <w:jc w:val="left"/>
    </w:pPr>
  </w:style>
  <w:style w:type="paragraph" w:customStyle="1" w:styleId="131">
    <w:name w:val="Char Char Char Char Char Char Char Char Char Char Char Char Char Char Char Char Char Char Char Char Char Char Char Char Char"/>
    <w:basedOn w:val="1"/>
    <w:qFormat/>
    <w:uiPriority w:val="99"/>
    <w:pPr>
      <w:widowControl/>
      <w:spacing w:after="160" w:line="240" w:lineRule="exact"/>
      <w:ind w:firstLine="200" w:firstLineChars="200"/>
      <w:jc w:val="left"/>
    </w:pPr>
  </w:style>
  <w:style w:type="paragraph" w:customStyle="1" w:styleId="132">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character" w:customStyle="1" w:styleId="133">
    <w:name w:val="段 Char"/>
    <w:link w:val="134"/>
    <w:qFormat/>
    <w:locked/>
    <w:uiPriority w:val="0"/>
    <w:rPr>
      <w:rFonts w:ascii="宋体"/>
    </w:rPr>
  </w:style>
  <w:style w:type="paragraph" w:customStyle="1" w:styleId="134">
    <w:name w:val="段"/>
    <w:link w:val="133"/>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paragraph" w:customStyle="1" w:styleId="135">
    <w:name w:val="一级条标题"/>
    <w:next w:val="134"/>
    <w:qFormat/>
    <w:uiPriority w:val="0"/>
    <w:pPr>
      <w:tabs>
        <w:tab w:val="left" w:pos="1680"/>
      </w:tabs>
      <w:spacing w:beforeLines="50" w:afterLines="50"/>
      <w:ind w:left="1260" w:hanging="420"/>
      <w:outlineLvl w:val="2"/>
    </w:pPr>
    <w:rPr>
      <w:rFonts w:ascii="黑体" w:hAnsi="Times New Roman" w:eastAsia="黑体" w:cs="Times New Roman"/>
      <w:sz w:val="21"/>
      <w:szCs w:val="21"/>
      <w:lang w:val="en-US" w:eastAsia="zh-CN" w:bidi="ar-SA"/>
    </w:rPr>
  </w:style>
  <w:style w:type="character" w:customStyle="1" w:styleId="136">
    <w:name w:val="def"/>
    <w:qFormat/>
    <w:uiPriority w:val="99"/>
    <w:rPr>
      <w:rFonts w:cs="Times New Roman"/>
    </w:rPr>
  </w:style>
  <w:style w:type="paragraph" w:customStyle="1" w:styleId="137">
    <w:name w:val="Char Char Char Char Char Char Char2"/>
    <w:basedOn w:val="1"/>
    <w:link w:val="152"/>
    <w:qFormat/>
    <w:uiPriority w:val="99"/>
    <w:pPr>
      <w:widowControl/>
      <w:topLinePunct/>
      <w:adjustRightInd w:val="0"/>
      <w:spacing w:after="160" w:line="240" w:lineRule="exact"/>
      <w:jc w:val="left"/>
    </w:pPr>
    <w:rPr>
      <w:rFonts w:ascii="Arial" w:hAnsi="Arial"/>
      <w:b/>
      <w:kern w:val="0"/>
      <w:sz w:val="24"/>
      <w:lang w:eastAsia="en-US"/>
    </w:rPr>
  </w:style>
  <w:style w:type="paragraph" w:customStyle="1" w:styleId="138">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39">
    <w:name w:val="正文表标题"/>
    <w:next w:val="134"/>
    <w:qFormat/>
    <w:uiPriority w:val="99"/>
    <w:pPr>
      <w:jc w:val="center"/>
    </w:pPr>
    <w:rPr>
      <w:rFonts w:ascii="黑体" w:hAnsi="Times New Roman" w:eastAsia="黑体" w:cs="Times New Roman"/>
      <w:sz w:val="21"/>
      <w:lang w:val="en-US" w:eastAsia="zh-CN" w:bidi="ar-SA"/>
    </w:rPr>
  </w:style>
  <w:style w:type="character" w:customStyle="1" w:styleId="140">
    <w:name w:val="lablecss"/>
    <w:qFormat/>
    <w:uiPriority w:val="99"/>
    <w:rPr>
      <w:rFonts w:cs="Times New Roman"/>
    </w:rPr>
  </w:style>
  <w:style w:type="character" w:customStyle="1" w:styleId="141">
    <w:name w:val="正文文本 2 字符"/>
    <w:basedOn w:val="48"/>
    <w:link w:val="38"/>
    <w:qFormat/>
    <w:uiPriority w:val="0"/>
    <w:rPr>
      <w:rFonts w:ascii="Times New Roman" w:hAnsi="Times New Roman" w:eastAsia="宋体" w:cs="Times New Roman"/>
      <w:szCs w:val="20"/>
    </w:rPr>
  </w:style>
  <w:style w:type="character" w:customStyle="1" w:styleId="142">
    <w:name w:val="trans"/>
    <w:qFormat/>
    <w:uiPriority w:val="99"/>
    <w:rPr>
      <w:rFonts w:cs="Times New Roman"/>
    </w:rPr>
  </w:style>
  <w:style w:type="character" w:customStyle="1" w:styleId="143">
    <w:name w:val="word"/>
    <w:qFormat/>
    <w:uiPriority w:val="99"/>
    <w:rPr>
      <w:rFonts w:cs="Times New Roman"/>
    </w:rPr>
  </w:style>
  <w:style w:type="table" w:customStyle="1" w:styleId="144">
    <w:name w:val="Table Grid1"/>
    <w:qFormat/>
    <w:uiPriority w:val="9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
    <w:name w:val="Table Grid2"/>
    <w:qFormat/>
    <w:uiPriority w:val="9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
    <w:name w:val="Table Grid3"/>
    <w:qFormat/>
    <w:uiPriority w:val="9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
    <w:name w:val="Table Grid4"/>
    <w:qFormat/>
    <w:uiPriority w:val="9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
    <w:name w:val="Table Grid5"/>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
    <w:name w:val="Table Grid6"/>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
    <w:name w:val="Table Grid7"/>
    <w:qFormat/>
    <w:uiPriority w:val="9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1">
    <w:name w:val="Article Title"/>
    <w:basedOn w:val="137"/>
    <w:link w:val="153"/>
    <w:qFormat/>
    <w:uiPriority w:val="99"/>
    <w:pPr>
      <w:spacing w:before="312" w:after="312"/>
      <w:jc w:val="center"/>
      <w:outlineLvl w:val="0"/>
    </w:pPr>
    <w:rPr>
      <w:rFonts w:ascii="黑体" w:hAnsi="黑体" w:eastAsia="黑体"/>
      <w:b w:val="0"/>
      <w:color w:val="000000"/>
      <w:sz w:val="28"/>
    </w:rPr>
  </w:style>
  <w:style w:type="character" w:customStyle="1" w:styleId="152">
    <w:name w:val="Char Char Char Char Char Char Char Char"/>
    <w:link w:val="137"/>
    <w:qFormat/>
    <w:locked/>
    <w:uiPriority w:val="99"/>
    <w:rPr>
      <w:rFonts w:ascii="Arial" w:hAnsi="Arial" w:eastAsia="宋体" w:cs="Times New Roman"/>
      <w:b/>
      <w:kern w:val="0"/>
      <w:sz w:val="24"/>
      <w:szCs w:val="20"/>
      <w:lang w:eastAsia="en-US"/>
    </w:rPr>
  </w:style>
  <w:style w:type="character" w:customStyle="1" w:styleId="153">
    <w:name w:val="Article Title Char"/>
    <w:link w:val="151"/>
    <w:qFormat/>
    <w:locked/>
    <w:uiPriority w:val="99"/>
    <w:rPr>
      <w:rFonts w:ascii="黑体" w:hAnsi="黑体" w:eastAsia="黑体" w:cs="Times New Roman"/>
      <w:color w:val="000000"/>
      <w:kern w:val="0"/>
      <w:sz w:val="28"/>
      <w:szCs w:val="20"/>
      <w:lang w:eastAsia="en-US"/>
    </w:rPr>
  </w:style>
  <w:style w:type="paragraph" w:customStyle="1" w:styleId="154">
    <w:name w:val="Body"/>
    <w:basedOn w:val="1"/>
    <w:link w:val="156"/>
    <w:qFormat/>
    <w:uiPriority w:val="99"/>
    <w:pPr>
      <w:numPr>
        <w:ilvl w:val="2"/>
        <w:numId w:val="2"/>
      </w:numPr>
      <w:adjustRightInd w:val="0"/>
      <w:spacing w:line="360" w:lineRule="auto"/>
      <w:outlineLvl w:val="2"/>
    </w:pPr>
    <w:rPr>
      <w:color w:val="000000"/>
      <w:sz w:val="24"/>
    </w:rPr>
  </w:style>
  <w:style w:type="paragraph" w:customStyle="1" w:styleId="155">
    <w:name w:val="Description"/>
    <w:basedOn w:val="1"/>
    <w:link w:val="158"/>
    <w:qFormat/>
    <w:uiPriority w:val="0"/>
    <w:pPr>
      <w:adjustRightInd w:val="0"/>
      <w:spacing w:line="360" w:lineRule="auto"/>
      <w:outlineLvl w:val="2"/>
    </w:pPr>
    <w:rPr>
      <w:rFonts w:ascii="华文新魏" w:eastAsia="华文新魏"/>
    </w:rPr>
  </w:style>
  <w:style w:type="character" w:customStyle="1" w:styleId="156">
    <w:name w:val="Body Char"/>
    <w:link w:val="154"/>
    <w:qFormat/>
    <w:locked/>
    <w:uiPriority w:val="99"/>
    <w:rPr>
      <w:rFonts w:ascii="Times New Roman" w:hAnsi="Times New Roman" w:eastAsia="宋体" w:cs="Times New Roman"/>
      <w:color w:val="000000"/>
      <w:kern w:val="2"/>
      <w:sz w:val="24"/>
    </w:rPr>
  </w:style>
  <w:style w:type="paragraph" w:customStyle="1" w:styleId="157">
    <w:name w:val="Charter Title"/>
    <w:basedOn w:val="74"/>
    <w:link w:val="160"/>
    <w:qFormat/>
    <w:uiPriority w:val="99"/>
    <w:pPr>
      <w:spacing w:before="312" w:after="312"/>
      <w:ind w:firstLine="482"/>
      <w:jc w:val="center"/>
      <w:outlineLvl w:val="1"/>
    </w:pPr>
    <w:rPr>
      <w:rFonts w:ascii="黑体" w:hAnsi="黑体" w:eastAsia="黑体"/>
      <w:b/>
      <w:color w:val="000000"/>
    </w:rPr>
  </w:style>
  <w:style w:type="character" w:customStyle="1" w:styleId="158">
    <w:name w:val="Description Char"/>
    <w:link w:val="155"/>
    <w:qFormat/>
    <w:locked/>
    <w:uiPriority w:val="0"/>
    <w:rPr>
      <w:rFonts w:ascii="华文新魏" w:hAnsi="Times New Roman" w:eastAsia="华文新魏" w:cs="Times New Roman"/>
      <w:szCs w:val="20"/>
    </w:rPr>
  </w:style>
  <w:style w:type="paragraph" w:customStyle="1" w:styleId="159">
    <w:name w:val="Body Title"/>
    <w:basedOn w:val="154"/>
    <w:link w:val="162"/>
    <w:qFormat/>
    <w:uiPriority w:val="99"/>
    <w:rPr>
      <w:b/>
    </w:rPr>
  </w:style>
  <w:style w:type="character" w:customStyle="1" w:styleId="160">
    <w:name w:val="Charter Title Char"/>
    <w:link w:val="157"/>
    <w:qFormat/>
    <w:locked/>
    <w:uiPriority w:val="99"/>
    <w:rPr>
      <w:rFonts w:ascii="黑体" w:hAnsi="黑体" w:eastAsia="黑体" w:cs="Times New Roman"/>
      <w:b/>
      <w:color w:val="000000"/>
      <w:sz w:val="24"/>
      <w:szCs w:val="20"/>
    </w:rPr>
  </w:style>
  <w:style w:type="paragraph" w:customStyle="1" w:styleId="161">
    <w:name w:val="Normal Body"/>
    <w:basedOn w:val="1"/>
    <w:link w:val="163"/>
    <w:qFormat/>
    <w:uiPriority w:val="99"/>
    <w:pPr>
      <w:spacing w:line="360" w:lineRule="auto"/>
      <w:ind w:firstLine="600" w:firstLineChars="250"/>
    </w:pPr>
    <w:rPr>
      <w:color w:val="000000"/>
      <w:sz w:val="24"/>
    </w:rPr>
  </w:style>
  <w:style w:type="character" w:customStyle="1" w:styleId="162">
    <w:name w:val="Body Title Char"/>
    <w:link w:val="159"/>
    <w:qFormat/>
    <w:locked/>
    <w:uiPriority w:val="99"/>
    <w:rPr>
      <w:rFonts w:ascii="Times New Roman" w:hAnsi="Times New Roman" w:eastAsia="宋体" w:cs="Times New Roman"/>
      <w:b/>
      <w:color w:val="000000"/>
      <w:kern w:val="2"/>
      <w:sz w:val="24"/>
    </w:rPr>
  </w:style>
  <w:style w:type="character" w:customStyle="1" w:styleId="163">
    <w:name w:val="Normal Body Char"/>
    <w:link w:val="161"/>
    <w:qFormat/>
    <w:locked/>
    <w:uiPriority w:val="99"/>
    <w:rPr>
      <w:rFonts w:ascii="Times New Roman" w:hAnsi="Times New Roman" w:eastAsia="宋体" w:cs="Times New Roman"/>
      <w:color w:val="000000"/>
      <w:sz w:val="24"/>
      <w:szCs w:val="20"/>
    </w:rPr>
  </w:style>
  <w:style w:type="paragraph" w:customStyle="1" w:styleId="164">
    <w:name w:val="article title"/>
    <w:basedOn w:val="71"/>
    <w:link w:val="167"/>
    <w:qFormat/>
    <w:uiPriority w:val="99"/>
    <w:pPr>
      <w:numPr>
        <w:ilvl w:val="0"/>
        <w:numId w:val="2"/>
      </w:numPr>
      <w:spacing w:after="0" w:line="360" w:lineRule="auto"/>
      <w:jc w:val="center"/>
      <w:outlineLvl w:val="0"/>
    </w:pPr>
    <w:rPr>
      <w:rFonts w:ascii="黑体" w:hAnsi="黑体" w:eastAsia="黑体"/>
      <w:color w:val="000000"/>
      <w:sz w:val="28"/>
    </w:rPr>
  </w:style>
  <w:style w:type="paragraph" w:customStyle="1" w:styleId="165">
    <w:name w:val="charter title"/>
    <w:basedOn w:val="157"/>
    <w:link w:val="169"/>
    <w:qFormat/>
    <w:uiPriority w:val="99"/>
    <w:pPr>
      <w:numPr>
        <w:ilvl w:val="1"/>
        <w:numId w:val="2"/>
      </w:numPr>
      <w:ind w:firstLine="0" w:firstLineChars="0"/>
    </w:pPr>
  </w:style>
  <w:style w:type="character" w:customStyle="1" w:styleId="166">
    <w:name w:val="Char Char Char Char Char Char Char Char1"/>
    <w:link w:val="71"/>
    <w:qFormat/>
    <w:locked/>
    <w:uiPriority w:val="99"/>
    <w:rPr>
      <w:rFonts w:ascii="Arial" w:hAnsi="Arial" w:eastAsia="宋体" w:cs="Times New Roman"/>
      <w:b/>
      <w:kern w:val="0"/>
      <w:sz w:val="24"/>
      <w:szCs w:val="20"/>
      <w:lang w:eastAsia="en-US"/>
    </w:rPr>
  </w:style>
  <w:style w:type="character" w:customStyle="1" w:styleId="167">
    <w:name w:val="article title Char"/>
    <w:link w:val="164"/>
    <w:qFormat/>
    <w:locked/>
    <w:uiPriority w:val="99"/>
    <w:rPr>
      <w:rFonts w:ascii="黑体" w:hAnsi="黑体" w:eastAsia="黑体" w:cs="Times New Roman"/>
      <w:b/>
      <w:color w:val="000000"/>
      <w:sz w:val="28"/>
      <w:lang w:eastAsia="en-US"/>
    </w:rPr>
  </w:style>
  <w:style w:type="paragraph" w:customStyle="1" w:styleId="168">
    <w:name w:val="Numbered Body"/>
    <w:basedOn w:val="154"/>
    <w:link w:val="170"/>
    <w:qFormat/>
    <w:uiPriority w:val="99"/>
    <w:pPr>
      <w:numPr>
        <w:numId w:val="3"/>
      </w:numPr>
      <w:tabs>
        <w:tab w:val="left" w:pos="425"/>
      </w:tabs>
    </w:pPr>
  </w:style>
  <w:style w:type="character" w:customStyle="1" w:styleId="169">
    <w:name w:val="charter title Char"/>
    <w:link w:val="165"/>
    <w:qFormat/>
    <w:locked/>
    <w:uiPriority w:val="99"/>
    <w:rPr>
      <w:rFonts w:ascii="黑体" w:hAnsi="黑体" w:eastAsia="黑体" w:cs="Times New Roman"/>
      <w:b/>
      <w:color w:val="000000"/>
      <w:kern w:val="2"/>
      <w:sz w:val="24"/>
    </w:rPr>
  </w:style>
  <w:style w:type="character" w:customStyle="1" w:styleId="170">
    <w:name w:val="Numbered Body Char"/>
    <w:link w:val="168"/>
    <w:qFormat/>
    <w:locked/>
    <w:uiPriority w:val="99"/>
    <w:rPr>
      <w:rFonts w:ascii="Times New Roman" w:hAnsi="Times New Roman" w:eastAsia="宋体" w:cs="Times New Roman"/>
      <w:color w:val="000000"/>
      <w:kern w:val="2"/>
      <w:sz w:val="24"/>
    </w:rPr>
  </w:style>
  <w:style w:type="table" w:customStyle="1" w:styleId="171">
    <w:name w:val="Table Grid8"/>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2">
    <w:name w:val="DescriptionA"/>
    <w:basedOn w:val="1"/>
    <w:link w:val="173"/>
    <w:qFormat/>
    <w:uiPriority w:val="99"/>
    <w:rPr>
      <w:rFonts w:ascii="华文新魏" w:eastAsia="华文新魏"/>
    </w:rPr>
  </w:style>
  <w:style w:type="character" w:customStyle="1" w:styleId="173">
    <w:name w:val="DescriptionA Char"/>
    <w:link w:val="172"/>
    <w:qFormat/>
    <w:locked/>
    <w:uiPriority w:val="99"/>
    <w:rPr>
      <w:rFonts w:ascii="华文新魏" w:hAnsi="Times New Roman" w:eastAsia="华文新魏" w:cs="Times New Roman"/>
      <w:szCs w:val="20"/>
    </w:rPr>
  </w:style>
  <w:style w:type="paragraph" w:customStyle="1" w:styleId="174">
    <w:name w:val="章标题"/>
    <w:next w:val="134"/>
    <w:qFormat/>
    <w:uiPriority w:val="0"/>
    <w:pPr>
      <w:spacing w:beforeLines="100" w:afterLines="100"/>
      <w:ind w:left="360" w:hanging="360"/>
      <w:jc w:val="both"/>
      <w:outlineLvl w:val="1"/>
    </w:pPr>
    <w:rPr>
      <w:rFonts w:ascii="黑体" w:hAnsi="Times New Roman" w:eastAsia="黑体" w:cs="Times New Roman"/>
      <w:sz w:val="21"/>
      <w:lang w:val="en-US" w:eastAsia="zh-CN" w:bidi="ar-SA"/>
    </w:rPr>
  </w:style>
  <w:style w:type="paragraph" w:customStyle="1" w:styleId="175">
    <w:name w:val="二级条标题"/>
    <w:basedOn w:val="135"/>
    <w:next w:val="134"/>
    <w:qFormat/>
    <w:uiPriority w:val="0"/>
    <w:pPr>
      <w:tabs>
        <w:tab w:val="clear" w:pos="1680"/>
      </w:tabs>
      <w:spacing w:before="50" w:after="50"/>
      <w:ind w:left="0" w:firstLine="0"/>
      <w:outlineLvl w:val="3"/>
    </w:pPr>
  </w:style>
  <w:style w:type="paragraph" w:customStyle="1" w:styleId="176">
    <w:name w:val="三级条标题"/>
    <w:basedOn w:val="175"/>
    <w:next w:val="134"/>
    <w:qFormat/>
    <w:uiPriority w:val="0"/>
    <w:pPr>
      <w:outlineLvl w:val="4"/>
    </w:pPr>
  </w:style>
  <w:style w:type="paragraph" w:customStyle="1" w:styleId="177">
    <w:name w:val="四级条标题"/>
    <w:basedOn w:val="176"/>
    <w:next w:val="134"/>
    <w:qFormat/>
    <w:uiPriority w:val="0"/>
    <w:pPr>
      <w:outlineLvl w:val="5"/>
    </w:pPr>
  </w:style>
  <w:style w:type="paragraph" w:customStyle="1" w:styleId="178">
    <w:name w:val="五级条标题"/>
    <w:basedOn w:val="177"/>
    <w:next w:val="134"/>
    <w:qFormat/>
    <w:uiPriority w:val="0"/>
    <w:pPr>
      <w:outlineLvl w:val="6"/>
    </w:pPr>
  </w:style>
  <w:style w:type="paragraph" w:customStyle="1" w:styleId="179">
    <w:name w:val="章节3级"/>
    <w:basedOn w:val="1"/>
    <w:qFormat/>
    <w:uiPriority w:val="99"/>
    <w:pPr>
      <w:spacing w:beforeLines="50" w:line="360" w:lineRule="auto"/>
      <w:jc w:val="left"/>
      <w:outlineLvl w:val="0"/>
    </w:pPr>
    <w:rPr>
      <w:rFonts w:ascii="Cambria" w:hAnsi="Cambria" w:eastAsia="黑体"/>
      <w:bCs/>
      <w:sz w:val="24"/>
      <w:szCs w:val="32"/>
    </w:rPr>
  </w:style>
  <w:style w:type="paragraph" w:customStyle="1" w:styleId="180">
    <w:name w:val="章节2级"/>
    <w:basedOn w:val="1"/>
    <w:qFormat/>
    <w:uiPriority w:val="99"/>
    <w:pPr>
      <w:spacing w:before="240" w:line="360" w:lineRule="auto"/>
      <w:jc w:val="left"/>
      <w:outlineLvl w:val="0"/>
    </w:pPr>
    <w:rPr>
      <w:rFonts w:ascii="Cambria" w:hAnsi="Cambria" w:eastAsia="黑体"/>
      <w:bCs/>
      <w:sz w:val="28"/>
      <w:szCs w:val="32"/>
    </w:rPr>
  </w:style>
  <w:style w:type="character" w:styleId="181">
    <w:name w:val="Placeholder Text"/>
    <w:semiHidden/>
    <w:qFormat/>
    <w:uiPriority w:val="99"/>
    <w:rPr>
      <w:rFonts w:cs="Times New Roman"/>
      <w:color w:val="808080"/>
    </w:rPr>
  </w:style>
  <w:style w:type="table" w:customStyle="1" w:styleId="182">
    <w:name w:val="Table Grid9"/>
    <w:basedOn w:val="45"/>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3">
    <w:name w:val="封面"/>
    <w:basedOn w:val="18"/>
    <w:link w:val="184"/>
    <w:qFormat/>
    <w:uiPriority w:val="1"/>
    <w:pPr>
      <w:topLinePunct/>
      <w:adjustRightInd w:val="0"/>
      <w:spacing w:after="720"/>
      <w:jc w:val="center"/>
    </w:pPr>
    <w:rPr>
      <w:rFonts w:ascii="PMingLiU" w:eastAsia="PMingLiU"/>
      <w:kern w:val="0"/>
      <w:sz w:val="52"/>
      <w:lang w:val="zh-CN"/>
    </w:rPr>
  </w:style>
  <w:style w:type="character" w:customStyle="1" w:styleId="184">
    <w:name w:val="封面 字符"/>
    <w:link w:val="183"/>
    <w:qFormat/>
    <w:uiPriority w:val="1"/>
    <w:rPr>
      <w:rFonts w:ascii="PMingLiU" w:hAnsi="Times New Roman" w:eastAsia="PMingLiU" w:cs="Times New Roman"/>
      <w:kern w:val="0"/>
      <w:sz w:val="52"/>
      <w:szCs w:val="20"/>
      <w:lang w:val="zh-CN" w:eastAsia="zh-CN"/>
    </w:rPr>
  </w:style>
  <w:style w:type="paragraph" w:customStyle="1" w:styleId="185">
    <w:name w:val="文献分类号"/>
    <w:semiHidden/>
    <w:qFormat/>
    <w:uiPriority w:val="0"/>
    <w:pPr>
      <w:widowControl w:val="0"/>
    </w:pPr>
    <w:rPr>
      <w:rFonts w:ascii="Times New Roman" w:hAnsi="宋体" w:eastAsia="黑体" w:cs="Times New Roman"/>
      <w:kern w:val="2"/>
      <w:sz w:val="21"/>
      <w:szCs w:val="21"/>
      <w:lang w:val="en-US" w:eastAsia="zh-CN" w:bidi="ar-SA"/>
    </w:rPr>
  </w:style>
  <w:style w:type="paragraph" w:customStyle="1" w:styleId="186">
    <w:name w:val="标准标志"/>
    <w:semiHidden/>
    <w:qFormat/>
    <w:uiPriority w:val="14"/>
    <w:pPr>
      <w:snapToGrid w:val="0"/>
      <w:jc w:val="right"/>
    </w:pPr>
    <w:rPr>
      <w:rFonts w:ascii="Times New Roman" w:hAnsi="Times New Roman" w:eastAsia="宋体" w:cs="Times New Roman"/>
      <w:b/>
      <w:w w:val="125"/>
      <w:kern w:val="2"/>
      <w:sz w:val="84"/>
      <w:szCs w:val="84"/>
      <w:lang w:val="en-US" w:eastAsia="zh-CN" w:bidi="ar-SA"/>
    </w:rPr>
  </w:style>
  <w:style w:type="paragraph" w:customStyle="1" w:styleId="187">
    <w:name w:val="标准编号"/>
    <w:semiHidden/>
    <w:qFormat/>
    <w:uiPriority w:val="13"/>
    <w:pPr>
      <w:spacing w:beforeLines="140" w:line="200" w:lineRule="exact"/>
      <w:jc w:val="right"/>
    </w:pPr>
    <w:rPr>
      <w:rFonts w:ascii="Times New Roman" w:hAnsi="宋体" w:eastAsia="黑体" w:cs="Times New Roman"/>
      <w:kern w:val="2"/>
      <w:sz w:val="28"/>
      <w:szCs w:val="28"/>
      <w:lang w:val="en-US" w:eastAsia="zh-CN" w:bidi="ar-SA"/>
    </w:rPr>
  </w:style>
  <w:style w:type="paragraph" w:customStyle="1" w:styleId="188">
    <w:name w:val="标准编号分割线"/>
    <w:semiHidden/>
    <w:qFormat/>
    <w:uiPriority w:val="13"/>
    <w:pPr>
      <w:pBdr>
        <w:bottom w:val="single" w:color="auto" w:sz="4" w:space="1"/>
      </w:pBdr>
      <w:jc w:val="right"/>
    </w:pPr>
    <w:rPr>
      <w:rFonts w:ascii="宋体" w:hAnsi="宋体" w:eastAsia="宋体" w:cs="Times New Roman"/>
      <w:kern w:val="2"/>
      <w:sz w:val="21"/>
      <w:szCs w:val="21"/>
      <w:lang w:val="en-US" w:eastAsia="zh-CN" w:bidi="ar-SA"/>
    </w:rPr>
  </w:style>
  <w:style w:type="paragraph" w:customStyle="1" w:styleId="189">
    <w:name w:val="封面说明"/>
    <w:semiHidden/>
    <w:qFormat/>
    <w:uiPriority w:val="15"/>
    <w:pPr>
      <w:spacing w:beforeLines="200"/>
      <w:jc w:val="center"/>
    </w:pPr>
    <w:rPr>
      <w:rFonts w:ascii="Times New Roman" w:hAnsi="Times New Roman" w:eastAsia="宋体" w:cs="Times New Roman"/>
      <w:kern w:val="2"/>
      <w:sz w:val="24"/>
      <w:szCs w:val="24"/>
      <w:lang w:val="en-US" w:eastAsia="zh-CN" w:bidi="ar-SA"/>
    </w:rPr>
  </w:style>
  <w:style w:type="paragraph" w:customStyle="1" w:styleId="190">
    <w:name w:val="标准实施日期"/>
    <w:semiHidden/>
    <w:qFormat/>
    <w:uiPriority w:val="16"/>
    <w:pPr>
      <w:pBdr>
        <w:bottom w:val="single" w:color="auto" w:sz="4" w:space="1"/>
      </w:pBdr>
      <w:jc w:val="distribute"/>
    </w:pPr>
    <w:rPr>
      <w:rFonts w:ascii="黑体" w:hAnsi="黑体" w:eastAsia="黑体" w:cs="Times New Roman"/>
      <w:kern w:val="2"/>
      <w:sz w:val="28"/>
      <w:szCs w:val="28"/>
      <w:lang w:val="en-US" w:eastAsia="zh-CN" w:bidi="ar-SA"/>
    </w:rPr>
  </w:style>
  <w:style w:type="paragraph" w:customStyle="1" w:styleId="191">
    <w:name w:val="其他发布部门"/>
    <w:basedOn w:val="1"/>
    <w:qFormat/>
    <w:uiPriority w:val="0"/>
    <w:pPr>
      <w:framePr w:w="7938" w:h="1134" w:hRule="exact" w:hSpace="125" w:vSpace="181" w:wrap="around" w:vAnchor="page" w:hAnchor="page" w:x="2150" w:y="15310" w:anchorLock="1"/>
      <w:widowControl/>
      <w:spacing w:line="0" w:lineRule="atLeast"/>
      <w:jc w:val="center"/>
    </w:pPr>
    <w:rPr>
      <w:rFonts w:ascii="黑体" w:eastAsia="黑体"/>
      <w:spacing w:val="20"/>
      <w:w w:val="135"/>
      <w:kern w:val="0"/>
      <w:sz w:val="28"/>
    </w:rPr>
  </w:style>
  <w:style w:type="paragraph" w:customStyle="1" w:styleId="192">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93">
    <w:name w:val="三级标题"/>
    <w:basedOn w:val="4"/>
    <w:link w:val="201"/>
    <w:qFormat/>
    <w:uiPriority w:val="0"/>
    <w:pPr>
      <w:keepNext w:val="0"/>
      <w:keepLines w:val="0"/>
      <w:numPr>
        <w:ilvl w:val="0"/>
        <w:numId w:val="0"/>
      </w:numPr>
      <w:spacing w:before="0" w:after="0" w:line="360" w:lineRule="exact"/>
    </w:pPr>
    <w:rPr>
      <w:b w:val="0"/>
      <w:sz w:val="24"/>
      <w:szCs w:val="21"/>
    </w:rPr>
  </w:style>
  <w:style w:type="paragraph" w:customStyle="1" w:styleId="194">
    <w:name w:val="居中"/>
    <w:basedOn w:val="1"/>
    <w:next w:val="193"/>
    <w:link w:val="355"/>
    <w:qFormat/>
    <w:uiPriority w:val="0"/>
    <w:pPr>
      <w:spacing w:line="360" w:lineRule="auto"/>
      <w:jc w:val="center"/>
    </w:pPr>
    <w:rPr>
      <w:color w:val="000000"/>
      <w:szCs w:val="32"/>
    </w:rPr>
  </w:style>
  <w:style w:type="table" w:customStyle="1" w:styleId="195">
    <w:name w:val="网格型1"/>
    <w:basedOn w:val="45"/>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96">
    <w:name w:val="我的表格"/>
    <w:basedOn w:val="45"/>
    <w:qFormat/>
    <w:uiPriority w:val="99"/>
    <w:rPr>
      <w:rFonts w:ascii="Times New Roman" w:hAnsi="Times New Roman" w:eastAsia="宋体" w:cs="Times New Roman"/>
      <w:sz w:val="18"/>
    </w:rPr>
    <w:tblPr>
      <w:tblBorders>
        <w:top w:val="single" w:color="auto" w:sz="12" w:space="0"/>
        <w:bottom w:val="single" w:color="auto" w:sz="12" w:space="0"/>
      </w:tblBorders>
    </w:tblPr>
    <w:tblStylePr w:type="firstRow">
      <w:rPr>
        <w:rFonts w:eastAsia="Times New Roman"/>
      </w:rPr>
      <w:tcPr>
        <w:tcBorders>
          <w:bottom w:val="single" w:color="auto" w:sz="4" w:space="0"/>
        </w:tcBorders>
      </w:tcPr>
    </w:tblStylePr>
  </w:style>
  <w:style w:type="paragraph" w:customStyle="1" w:styleId="197">
    <w:name w:val="我的正文（粗体，用于小标题）"/>
    <w:basedOn w:val="1"/>
    <w:next w:val="193"/>
    <w:qFormat/>
    <w:uiPriority w:val="0"/>
    <w:pPr>
      <w:spacing w:line="360" w:lineRule="auto"/>
      <w:ind w:firstLine="422" w:firstLineChars="200"/>
      <w:jc w:val="left"/>
    </w:pPr>
    <w:rPr>
      <w:rFonts w:eastAsia="楷体"/>
      <w:b/>
      <w:color w:val="FF0000"/>
      <w:sz w:val="24"/>
      <w:szCs w:val="32"/>
    </w:rPr>
  </w:style>
  <w:style w:type="paragraph" w:customStyle="1" w:styleId="198">
    <w:name w:val="题注（表）"/>
    <w:next w:val="1"/>
    <w:qFormat/>
    <w:uiPriority w:val="0"/>
    <w:pPr>
      <w:jc w:val="center"/>
    </w:pPr>
    <w:rPr>
      <w:rFonts w:ascii="Times New Roman" w:hAnsi="Times New Roman" w:eastAsia="黑体" w:cs="Times New Roman"/>
      <w:color w:val="000000"/>
      <w:kern w:val="2"/>
      <w:sz w:val="21"/>
      <w:szCs w:val="32"/>
      <w:lang w:val="en-US" w:eastAsia="zh-CN" w:bidi="ar-SA"/>
    </w:rPr>
  </w:style>
  <w:style w:type="character" w:customStyle="1" w:styleId="199">
    <w:name w:val="列表段落 字符"/>
    <w:link w:val="104"/>
    <w:qFormat/>
    <w:uiPriority w:val="1"/>
    <w:rPr>
      <w:rFonts w:ascii="Calibri" w:hAnsi="Calibri" w:eastAsia="宋体" w:cs="Times New Roman"/>
    </w:rPr>
  </w:style>
  <w:style w:type="paragraph" w:customStyle="1" w:styleId="200">
    <w:name w:val="选入单位"/>
    <w:basedOn w:val="1"/>
    <w:next w:val="193"/>
    <w:qFormat/>
    <w:uiPriority w:val="0"/>
    <w:pPr>
      <w:spacing w:line="360" w:lineRule="auto"/>
      <w:ind w:firstLine="422" w:firstLineChars="200"/>
      <w:jc w:val="left"/>
    </w:pPr>
    <w:rPr>
      <w:rFonts w:eastAsia="黑体"/>
      <w:b/>
      <w:color w:val="FF0000"/>
      <w:sz w:val="24"/>
      <w:szCs w:val="32"/>
    </w:rPr>
  </w:style>
  <w:style w:type="character" w:customStyle="1" w:styleId="201">
    <w:name w:val="三级标题 Char"/>
    <w:link w:val="193"/>
    <w:qFormat/>
    <w:uiPriority w:val="0"/>
    <w:rPr>
      <w:rFonts w:ascii="Times New Roman" w:hAnsi="Times New Roman" w:eastAsia="宋体" w:cs="Times New Roman"/>
      <w:bCs/>
      <w:sz w:val="24"/>
      <w:szCs w:val="21"/>
    </w:rPr>
  </w:style>
  <w:style w:type="paragraph" w:customStyle="1" w:styleId="202">
    <w:name w:val="额外单位"/>
    <w:basedOn w:val="200"/>
    <w:qFormat/>
    <w:uiPriority w:val="0"/>
    <w:rPr>
      <w:color w:val="1F497D"/>
    </w:rPr>
  </w:style>
  <w:style w:type="paragraph" w:customStyle="1" w:styleId="203">
    <w:name w:val="列出段落1"/>
    <w:basedOn w:val="1"/>
    <w:qFormat/>
    <w:uiPriority w:val="34"/>
    <w:pPr>
      <w:spacing w:line="360" w:lineRule="auto"/>
      <w:ind w:firstLine="420" w:firstLineChars="200"/>
    </w:pPr>
    <w:rPr>
      <w:rFonts w:ascii="Calibri" w:hAnsi="Calibri"/>
      <w:sz w:val="24"/>
      <w:szCs w:val="22"/>
    </w:rPr>
  </w:style>
  <w:style w:type="paragraph" w:customStyle="1" w:styleId="204">
    <w:name w:val="正文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05">
    <w:name w:val="No Spacing"/>
    <w:link w:val="206"/>
    <w:qFormat/>
    <w:uiPriority w:val="1"/>
    <w:pPr>
      <w:widowControl w:val="0"/>
      <w:jc w:val="both"/>
    </w:pPr>
    <w:rPr>
      <w:rFonts w:ascii="Calibri" w:hAnsi="Calibri" w:eastAsia="宋体" w:cs="Times New Roman"/>
      <w:kern w:val="2"/>
      <w:sz w:val="21"/>
      <w:szCs w:val="21"/>
      <w:lang w:val="en-US" w:eastAsia="zh-CN" w:bidi="ar-SA"/>
    </w:rPr>
  </w:style>
  <w:style w:type="character" w:customStyle="1" w:styleId="206">
    <w:name w:val="无间隔 字符"/>
    <w:link w:val="205"/>
    <w:qFormat/>
    <w:uiPriority w:val="1"/>
    <w:rPr>
      <w:rFonts w:ascii="Calibri" w:hAnsi="Calibri" w:eastAsia="宋体" w:cs="Times New Roman"/>
      <w:szCs w:val="21"/>
    </w:rPr>
  </w:style>
  <w:style w:type="paragraph" w:customStyle="1" w:styleId="207">
    <w:name w:val="1"/>
    <w:basedOn w:val="1"/>
    <w:next w:val="38"/>
    <w:qFormat/>
    <w:uiPriority w:val="0"/>
    <w:pPr>
      <w:widowControl/>
      <w:spacing w:after="120" w:line="480" w:lineRule="auto"/>
      <w:jc w:val="left"/>
    </w:pPr>
    <w:rPr>
      <w:kern w:val="0"/>
      <w:sz w:val="24"/>
      <w:szCs w:val="24"/>
    </w:rPr>
  </w:style>
  <w:style w:type="paragraph" w:customStyle="1" w:styleId="208">
    <w:name w:val="Xx编号06"/>
    <w:basedOn w:val="1"/>
    <w:qFormat/>
    <w:uiPriority w:val="0"/>
    <w:pPr>
      <w:autoSpaceDE w:val="0"/>
      <w:autoSpaceDN w:val="0"/>
      <w:snapToGrid w:val="0"/>
      <w:spacing w:line="360" w:lineRule="auto"/>
      <w:outlineLvl w:val="5"/>
    </w:pPr>
    <w:rPr>
      <w:sz w:val="24"/>
      <w:szCs w:val="24"/>
    </w:rPr>
  </w:style>
  <w:style w:type="character" w:customStyle="1" w:styleId="209">
    <w:name w:val="节 Char"/>
    <w:link w:val="69"/>
    <w:qFormat/>
    <w:uiPriority w:val="0"/>
    <w:rPr>
      <w:rFonts w:ascii="Times New Roman" w:hAnsi="Times New Roman" w:eastAsia="宋体" w:cs="Times New Roman"/>
      <w:b/>
      <w:sz w:val="24"/>
      <w:szCs w:val="20"/>
    </w:rPr>
  </w:style>
  <w:style w:type="paragraph" w:customStyle="1" w:styleId="210">
    <w:name w:val="Balloon Text1"/>
    <w:basedOn w:val="1"/>
    <w:semiHidden/>
    <w:qFormat/>
    <w:uiPriority w:val="0"/>
    <w:pPr>
      <w:widowControl/>
      <w:spacing w:line="360" w:lineRule="auto"/>
      <w:jc w:val="left"/>
    </w:pPr>
    <w:rPr>
      <w:kern w:val="0"/>
      <w:sz w:val="16"/>
      <w:szCs w:val="16"/>
    </w:rPr>
  </w:style>
  <w:style w:type="paragraph" w:customStyle="1" w:styleId="211">
    <w:name w:val="内容"/>
    <w:basedOn w:val="1"/>
    <w:qFormat/>
    <w:uiPriority w:val="0"/>
    <w:pPr>
      <w:spacing w:line="360" w:lineRule="exact"/>
      <w:ind w:firstLine="629"/>
    </w:pPr>
    <w:rPr>
      <w:rFonts w:eastAsia="方正隶变简体"/>
      <w:spacing w:val="20"/>
      <w:sz w:val="24"/>
    </w:rPr>
  </w:style>
  <w:style w:type="paragraph" w:customStyle="1" w:styleId="212">
    <w:name w:val="地址内"/>
    <w:basedOn w:val="1"/>
    <w:qFormat/>
    <w:uiPriority w:val="0"/>
    <w:pPr>
      <w:spacing w:line="360" w:lineRule="auto"/>
    </w:pPr>
    <w:rPr>
      <w:sz w:val="24"/>
      <w:szCs w:val="24"/>
    </w:rPr>
  </w:style>
  <w:style w:type="character" w:customStyle="1" w:styleId="213">
    <w:name w:val="正文文本 3 字符"/>
    <w:basedOn w:val="48"/>
    <w:link w:val="17"/>
    <w:qFormat/>
    <w:uiPriority w:val="0"/>
    <w:rPr>
      <w:rFonts w:ascii="Times New Roman" w:hAnsi="Times New Roman" w:eastAsia="宋体" w:cs="Times New Roman"/>
      <w:kern w:val="0"/>
      <w:sz w:val="16"/>
      <w:szCs w:val="16"/>
    </w:rPr>
  </w:style>
  <w:style w:type="character" w:customStyle="1" w:styleId="214">
    <w:name w:val="正文 Char"/>
    <w:link w:val="215"/>
    <w:qFormat/>
    <w:uiPriority w:val="0"/>
    <w:rPr>
      <w:rFonts w:ascii="黑体" w:hAnsi="宋体"/>
      <w:bCs/>
      <w:szCs w:val="24"/>
    </w:rPr>
  </w:style>
  <w:style w:type="paragraph" w:customStyle="1" w:styleId="215">
    <w:name w:val="正文1"/>
    <w:basedOn w:val="1"/>
    <w:link w:val="214"/>
    <w:qFormat/>
    <w:uiPriority w:val="0"/>
    <w:pPr>
      <w:snapToGrid w:val="0"/>
      <w:spacing w:line="440" w:lineRule="atLeast"/>
      <w:jc w:val="left"/>
    </w:pPr>
    <w:rPr>
      <w:rFonts w:ascii="黑体" w:hAnsi="宋体" w:eastAsiaTheme="minorEastAsia" w:cstheme="minorBidi"/>
      <w:bCs/>
      <w:szCs w:val="24"/>
    </w:rPr>
  </w:style>
  <w:style w:type="paragraph" w:customStyle="1" w:styleId="216">
    <w:name w:val="注、表内文字"/>
    <w:basedOn w:val="1"/>
    <w:qFormat/>
    <w:uiPriority w:val="0"/>
    <w:pPr>
      <w:adjustRightInd w:val="0"/>
      <w:snapToGrid w:val="0"/>
      <w:spacing w:line="300" w:lineRule="atLeast"/>
      <w:jc w:val="center"/>
    </w:pPr>
    <w:rPr>
      <w:rFonts w:ascii="黑体" w:hAnsi="宋体"/>
      <w:bCs/>
      <w:sz w:val="15"/>
      <w:szCs w:val="24"/>
    </w:rPr>
  </w:style>
  <w:style w:type="paragraph" w:customStyle="1" w:styleId="217">
    <w:name w:val="款编号"/>
    <w:basedOn w:val="1"/>
    <w:link w:val="218"/>
    <w:qFormat/>
    <w:uiPriority w:val="0"/>
    <w:pPr>
      <w:adjustRightInd w:val="0"/>
      <w:snapToGrid w:val="0"/>
      <w:spacing w:line="440" w:lineRule="atLeast"/>
      <w:ind w:firstLine="200" w:firstLineChars="200"/>
      <w:jc w:val="left"/>
    </w:pPr>
    <w:rPr>
      <w:rFonts w:ascii="黑体" w:hAnsi="宋体" w:eastAsia="黑体"/>
      <w:bCs/>
      <w:kern w:val="0"/>
      <w:sz w:val="24"/>
      <w:szCs w:val="24"/>
    </w:rPr>
  </w:style>
  <w:style w:type="character" w:customStyle="1" w:styleId="218">
    <w:name w:val="款编号 Char"/>
    <w:link w:val="217"/>
    <w:qFormat/>
    <w:uiPriority w:val="0"/>
    <w:rPr>
      <w:rFonts w:ascii="黑体" w:hAnsi="宋体" w:eastAsia="黑体" w:cs="Times New Roman"/>
      <w:bCs/>
      <w:kern w:val="0"/>
      <w:sz w:val="24"/>
      <w:szCs w:val="24"/>
    </w:rPr>
  </w:style>
  <w:style w:type="character" w:customStyle="1" w:styleId="219">
    <w:name w:val="正文文本 + Batang"/>
    <w:uiPriority w:val="0"/>
    <w:rPr>
      <w:rFonts w:ascii="Batang" w:hAnsi="Times New Roman" w:eastAsia="Batang" w:cs="Batang"/>
      <w:kern w:val="0"/>
      <w:sz w:val="21"/>
      <w:lang w:val="en-US" w:eastAsia="en-US" w:bidi="ar-SA"/>
    </w:rPr>
  </w:style>
  <w:style w:type="character" w:customStyle="1" w:styleId="220">
    <w:name w:val="表格标题 (7)_"/>
    <w:link w:val="221"/>
    <w:uiPriority w:val="0"/>
    <w:rPr>
      <w:rFonts w:ascii="宋体" w:hAnsi="宋体"/>
      <w:b/>
      <w:bCs/>
      <w:sz w:val="19"/>
      <w:szCs w:val="19"/>
      <w:shd w:val="clear" w:color="auto" w:fill="FFFFFF"/>
    </w:rPr>
  </w:style>
  <w:style w:type="paragraph" w:customStyle="1" w:styleId="221">
    <w:name w:val="表格标题 (7)"/>
    <w:basedOn w:val="1"/>
    <w:link w:val="220"/>
    <w:qFormat/>
    <w:uiPriority w:val="0"/>
    <w:pPr>
      <w:shd w:val="clear" w:color="auto" w:fill="FFFFFF"/>
      <w:spacing w:line="240" w:lineRule="atLeast"/>
      <w:jc w:val="left"/>
    </w:pPr>
    <w:rPr>
      <w:rFonts w:ascii="宋体" w:hAnsi="宋体" w:eastAsiaTheme="minorEastAsia" w:cstheme="minorBidi"/>
      <w:b/>
      <w:bCs/>
      <w:sz w:val="19"/>
      <w:szCs w:val="19"/>
    </w:rPr>
  </w:style>
  <w:style w:type="character" w:customStyle="1" w:styleId="222">
    <w:name w:val="正文文本 (26)_"/>
    <w:link w:val="223"/>
    <w:qFormat/>
    <w:uiPriority w:val="0"/>
    <w:rPr>
      <w:rFonts w:ascii="MingLiU" w:eastAsia="MingLiU"/>
      <w:spacing w:val="-20"/>
      <w:sz w:val="23"/>
      <w:szCs w:val="23"/>
      <w:shd w:val="clear" w:color="auto" w:fill="FFFFFF"/>
    </w:rPr>
  </w:style>
  <w:style w:type="paragraph" w:customStyle="1" w:styleId="223">
    <w:name w:val="正文文本 (26)1"/>
    <w:basedOn w:val="1"/>
    <w:link w:val="222"/>
    <w:qFormat/>
    <w:uiPriority w:val="0"/>
    <w:pPr>
      <w:shd w:val="clear" w:color="auto" w:fill="FFFFFF"/>
      <w:spacing w:before="720" w:line="240" w:lineRule="atLeast"/>
      <w:jc w:val="right"/>
    </w:pPr>
    <w:rPr>
      <w:rFonts w:ascii="MingLiU" w:eastAsia="MingLiU" w:hAnsiTheme="minorHAnsi" w:cstheme="minorBidi"/>
      <w:spacing w:val="-20"/>
      <w:sz w:val="23"/>
      <w:szCs w:val="23"/>
    </w:rPr>
  </w:style>
  <w:style w:type="character" w:customStyle="1" w:styleId="224">
    <w:name w:val="表格标题 (7) + MingLiU"/>
    <w:qFormat/>
    <w:uiPriority w:val="0"/>
    <w:rPr>
      <w:rFonts w:ascii="MingLiU" w:hAnsi="宋体" w:eastAsia="MingLiU" w:cs="MingLiU"/>
      <w:b/>
      <w:bCs/>
      <w:spacing w:val="-10"/>
      <w:sz w:val="17"/>
      <w:szCs w:val="17"/>
      <w:shd w:val="clear" w:color="auto" w:fill="FFFFFF"/>
      <w:lang w:val="en-US" w:eastAsia="en-US"/>
    </w:rPr>
  </w:style>
  <w:style w:type="character" w:customStyle="1" w:styleId="225">
    <w:name w:val="表格标题 (7) + MingLiU1"/>
    <w:qFormat/>
    <w:uiPriority w:val="0"/>
    <w:rPr>
      <w:rFonts w:ascii="MingLiU" w:hAnsi="宋体" w:eastAsia="MingLiU" w:cs="MingLiU"/>
      <w:b/>
      <w:bCs/>
      <w:spacing w:val="-10"/>
      <w:sz w:val="17"/>
      <w:szCs w:val="17"/>
      <w:shd w:val="clear" w:color="auto" w:fill="FFFFFF"/>
    </w:rPr>
  </w:style>
  <w:style w:type="character" w:customStyle="1" w:styleId="226">
    <w:name w:val="正文文本 + 8.5 pt"/>
    <w:qFormat/>
    <w:uiPriority w:val="0"/>
    <w:rPr>
      <w:rFonts w:ascii="MingLiU" w:hAnsi="Times New Roman" w:eastAsia="MingLiU" w:cs="MingLiU"/>
      <w:spacing w:val="-10"/>
      <w:kern w:val="0"/>
      <w:sz w:val="17"/>
      <w:szCs w:val="17"/>
      <w:u w:val="none"/>
      <w:lang w:val="en-US" w:eastAsia="zh-CN" w:bidi="ar-SA"/>
    </w:rPr>
  </w:style>
  <w:style w:type="character" w:customStyle="1" w:styleId="227">
    <w:name w:val="正文文本 + 8.5 pt7"/>
    <w:qFormat/>
    <w:uiPriority w:val="0"/>
    <w:rPr>
      <w:rFonts w:ascii="MingLiU" w:hAnsi="Times New Roman" w:eastAsia="MingLiU" w:cs="MingLiU"/>
      <w:spacing w:val="-10"/>
      <w:kern w:val="0"/>
      <w:sz w:val="17"/>
      <w:szCs w:val="17"/>
      <w:u w:val="none"/>
      <w:lang w:val="en-US" w:eastAsia="en-US" w:bidi="ar-SA"/>
    </w:rPr>
  </w:style>
  <w:style w:type="character" w:customStyle="1" w:styleId="228">
    <w:name w:val="正文文本 + 8.5 pt6"/>
    <w:qFormat/>
    <w:uiPriority w:val="0"/>
    <w:rPr>
      <w:rFonts w:ascii="MingLiU" w:hAnsi="Times New Roman" w:eastAsia="MingLiU" w:cs="MingLiU"/>
      <w:spacing w:val="-30"/>
      <w:kern w:val="0"/>
      <w:sz w:val="17"/>
      <w:szCs w:val="17"/>
      <w:u w:val="none"/>
      <w:lang w:val="en-US" w:eastAsia="en-US" w:bidi="ar-SA"/>
    </w:rPr>
  </w:style>
  <w:style w:type="character" w:customStyle="1" w:styleId="229">
    <w:name w:val="正文文本 + 8 pt10"/>
    <w:qFormat/>
    <w:uiPriority w:val="0"/>
    <w:rPr>
      <w:rFonts w:ascii="MingLiU" w:hAnsi="Times New Roman" w:eastAsia="MingLiU" w:cs="MingLiU"/>
      <w:i/>
      <w:iCs/>
      <w:kern w:val="0"/>
      <w:sz w:val="16"/>
      <w:szCs w:val="16"/>
      <w:u w:val="none"/>
      <w:lang w:val="en-US" w:eastAsia="en-US" w:bidi="ar-SA"/>
    </w:rPr>
  </w:style>
  <w:style w:type="character" w:customStyle="1" w:styleId="230">
    <w:name w:val="正文文本 + 8.5 pt5"/>
    <w:qFormat/>
    <w:uiPriority w:val="0"/>
    <w:rPr>
      <w:rFonts w:ascii="MingLiU" w:hAnsi="Times New Roman" w:eastAsia="MingLiU" w:cs="MingLiU"/>
      <w:spacing w:val="-30"/>
      <w:kern w:val="0"/>
      <w:sz w:val="17"/>
      <w:szCs w:val="17"/>
      <w:u w:val="none"/>
      <w:lang w:val="en-US" w:eastAsia="zh-CN" w:bidi="ar-SA"/>
    </w:rPr>
  </w:style>
  <w:style w:type="character" w:customStyle="1" w:styleId="231">
    <w:name w:val="图片标题_"/>
    <w:link w:val="232"/>
    <w:qFormat/>
    <w:uiPriority w:val="0"/>
    <w:rPr>
      <w:rFonts w:ascii="宋体" w:hAnsi="宋体"/>
      <w:b/>
      <w:bCs/>
      <w:sz w:val="19"/>
      <w:szCs w:val="19"/>
      <w:shd w:val="clear" w:color="auto" w:fill="FFFFFF"/>
    </w:rPr>
  </w:style>
  <w:style w:type="paragraph" w:customStyle="1" w:styleId="232">
    <w:name w:val="图片标题1"/>
    <w:basedOn w:val="1"/>
    <w:link w:val="231"/>
    <w:qFormat/>
    <w:uiPriority w:val="0"/>
    <w:pPr>
      <w:shd w:val="clear" w:color="auto" w:fill="FFFFFF"/>
      <w:spacing w:line="269" w:lineRule="exact"/>
      <w:jc w:val="center"/>
    </w:pPr>
    <w:rPr>
      <w:rFonts w:ascii="宋体" w:hAnsi="宋体" w:eastAsiaTheme="minorEastAsia" w:cstheme="minorBidi"/>
      <w:b/>
      <w:bCs/>
      <w:sz w:val="19"/>
      <w:szCs w:val="19"/>
    </w:rPr>
  </w:style>
  <w:style w:type="character" w:customStyle="1" w:styleId="233">
    <w:name w:val="正文文本 + Batang5"/>
    <w:qFormat/>
    <w:uiPriority w:val="0"/>
    <w:rPr>
      <w:rFonts w:ascii="Batang" w:hAnsi="Times New Roman" w:eastAsia="Batang" w:cs="Batang"/>
      <w:kern w:val="0"/>
      <w:sz w:val="21"/>
      <w:u w:val="none"/>
      <w:lang w:val="en-US" w:eastAsia="en-US" w:bidi="ar-SA"/>
    </w:rPr>
  </w:style>
  <w:style w:type="character" w:customStyle="1" w:styleId="234">
    <w:name w:val="正文文本 + SimSun11"/>
    <w:qFormat/>
    <w:uiPriority w:val="0"/>
    <w:rPr>
      <w:rFonts w:ascii="宋体" w:hAnsi="宋体" w:eastAsia="MingLiU" w:cs="宋体"/>
      <w:kern w:val="0"/>
      <w:sz w:val="21"/>
      <w:u w:val="none"/>
      <w:lang w:val="en-US" w:eastAsia="zh-CN" w:bidi="ar-SA"/>
    </w:rPr>
  </w:style>
  <w:style w:type="character" w:customStyle="1" w:styleId="235">
    <w:name w:val="图片标题"/>
    <w:basedOn w:val="231"/>
    <w:qFormat/>
    <w:uiPriority w:val="0"/>
    <w:rPr>
      <w:rFonts w:ascii="宋体" w:hAnsi="宋体"/>
      <w:sz w:val="19"/>
      <w:szCs w:val="19"/>
      <w:shd w:val="clear" w:color="auto" w:fill="FFFFFF"/>
    </w:rPr>
  </w:style>
  <w:style w:type="character" w:customStyle="1" w:styleId="236">
    <w:name w:val="正文文本 + 12 pt1"/>
    <w:qFormat/>
    <w:uiPriority w:val="0"/>
    <w:rPr>
      <w:rFonts w:ascii="MingLiU" w:hAnsi="Times New Roman" w:eastAsia="MingLiU" w:cs="MingLiU"/>
      <w:kern w:val="0"/>
      <w:sz w:val="24"/>
      <w:szCs w:val="24"/>
      <w:u w:val="none"/>
      <w:lang w:val="en-US" w:eastAsia="zh-CN" w:bidi="ar-SA"/>
    </w:rPr>
  </w:style>
  <w:style w:type="character" w:customStyle="1" w:styleId="237">
    <w:name w:val="图片标题 (6)_"/>
    <w:link w:val="238"/>
    <w:qFormat/>
    <w:uiPriority w:val="0"/>
    <w:rPr>
      <w:rFonts w:ascii="宋体" w:hAnsi="宋体"/>
      <w:shd w:val="clear" w:color="auto" w:fill="FFFFFF"/>
    </w:rPr>
  </w:style>
  <w:style w:type="paragraph" w:customStyle="1" w:styleId="238">
    <w:name w:val="图片标题 (6)"/>
    <w:basedOn w:val="1"/>
    <w:link w:val="237"/>
    <w:qFormat/>
    <w:uiPriority w:val="0"/>
    <w:pPr>
      <w:shd w:val="clear" w:color="auto" w:fill="FFFFFF"/>
      <w:spacing w:line="317" w:lineRule="exact"/>
      <w:ind w:firstLine="440"/>
      <w:jc w:val="distribute"/>
    </w:pPr>
    <w:rPr>
      <w:rFonts w:ascii="宋体" w:hAnsi="宋体" w:eastAsiaTheme="minorEastAsia" w:cstheme="minorBidi"/>
      <w:szCs w:val="22"/>
    </w:rPr>
  </w:style>
  <w:style w:type="character" w:customStyle="1" w:styleId="239">
    <w:name w:val="图片标题 (6) + Batang"/>
    <w:qFormat/>
    <w:uiPriority w:val="0"/>
    <w:rPr>
      <w:rFonts w:ascii="Batang" w:hAnsi="宋体" w:eastAsia="Batang" w:cs="Batang"/>
      <w:shd w:val="clear" w:color="auto" w:fill="FFFFFF"/>
      <w:lang w:val="en-US" w:eastAsia="en-US"/>
    </w:rPr>
  </w:style>
  <w:style w:type="character" w:customStyle="1" w:styleId="240">
    <w:name w:val="图片标题 (6) + Batang1"/>
    <w:qFormat/>
    <w:uiPriority w:val="0"/>
    <w:rPr>
      <w:rFonts w:ascii="Batang" w:hAnsi="宋体" w:eastAsia="Batang" w:cs="Batang"/>
      <w:i/>
      <w:iCs/>
      <w:shd w:val="clear" w:color="auto" w:fill="FFFFFF"/>
    </w:rPr>
  </w:style>
  <w:style w:type="character" w:customStyle="1" w:styleId="241">
    <w:name w:val="表格标题 (11)_"/>
    <w:link w:val="242"/>
    <w:qFormat/>
    <w:uiPriority w:val="0"/>
    <w:rPr>
      <w:rFonts w:ascii="Batang" w:eastAsia="Batang"/>
      <w:sz w:val="16"/>
      <w:szCs w:val="16"/>
      <w:shd w:val="clear" w:color="auto" w:fill="FFFFFF"/>
      <w:lang w:eastAsia="en-US"/>
    </w:rPr>
  </w:style>
  <w:style w:type="paragraph" w:customStyle="1" w:styleId="242">
    <w:name w:val="表格标题 (11)1"/>
    <w:basedOn w:val="1"/>
    <w:link w:val="241"/>
    <w:qFormat/>
    <w:uiPriority w:val="0"/>
    <w:pPr>
      <w:shd w:val="clear" w:color="auto" w:fill="FFFFFF"/>
      <w:spacing w:line="240" w:lineRule="atLeast"/>
      <w:jc w:val="left"/>
    </w:pPr>
    <w:rPr>
      <w:rFonts w:ascii="Batang" w:eastAsia="Batang" w:hAnsiTheme="minorHAnsi" w:cstheme="minorBidi"/>
      <w:sz w:val="16"/>
      <w:szCs w:val="16"/>
      <w:lang w:eastAsia="en-US"/>
    </w:rPr>
  </w:style>
  <w:style w:type="character" w:customStyle="1" w:styleId="243">
    <w:name w:val="表格标题 (11) + SimSun"/>
    <w:qFormat/>
    <w:uiPriority w:val="0"/>
    <w:rPr>
      <w:rFonts w:ascii="宋体" w:hAnsi="宋体" w:eastAsia="Batang" w:cs="宋体"/>
      <w:sz w:val="17"/>
      <w:szCs w:val="17"/>
      <w:shd w:val="clear" w:color="auto" w:fill="FFFFFF"/>
      <w:lang w:eastAsia="en-US"/>
    </w:rPr>
  </w:style>
  <w:style w:type="character" w:customStyle="1" w:styleId="244">
    <w:name w:val="表格标题 (11)"/>
    <w:basedOn w:val="241"/>
    <w:qFormat/>
    <w:uiPriority w:val="0"/>
    <w:rPr>
      <w:rFonts w:ascii="Batang" w:eastAsia="Batang"/>
      <w:sz w:val="16"/>
      <w:szCs w:val="16"/>
      <w:shd w:val="clear" w:color="auto" w:fill="FFFFFF"/>
      <w:lang w:eastAsia="en-US"/>
    </w:rPr>
  </w:style>
  <w:style w:type="character" w:customStyle="1" w:styleId="245">
    <w:name w:val="正文文本 + 8.5 pt1"/>
    <w:qFormat/>
    <w:uiPriority w:val="0"/>
    <w:rPr>
      <w:rFonts w:ascii="MingLiU" w:hAnsi="Times New Roman" w:eastAsia="MingLiU" w:cs="MingLiU"/>
      <w:kern w:val="0"/>
      <w:sz w:val="17"/>
      <w:szCs w:val="17"/>
      <w:u w:val="none"/>
      <w:lang w:val="en-US" w:eastAsia="zh-CN" w:bidi="ar-SA"/>
    </w:rPr>
  </w:style>
  <w:style w:type="character" w:customStyle="1" w:styleId="246">
    <w:name w:val="正文文本 + 8 pt4"/>
    <w:qFormat/>
    <w:uiPriority w:val="0"/>
    <w:rPr>
      <w:rFonts w:ascii="MingLiU" w:hAnsi="Times New Roman" w:eastAsia="MingLiU" w:cs="MingLiU"/>
      <w:spacing w:val="-10"/>
      <w:kern w:val="0"/>
      <w:sz w:val="16"/>
      <w:szCs w:val="16"/>
      <w:u w:val="none"/>
      <w:lang w:val="en-US" w:eastAsia="en-US" w:bidi="ar-SA"/>
    </w:rPr>
  </w:style>
  <w:style w:type="character" w:customStyle="1" w:styleId="247">
    <w:name w:val="正文文本 + Batang6"/>
    <w:qFormat/>
    <w:uiPriority w:val="0"/>
    <w:rPr>
      <w:rFonts w:ascii="Batang" w:hAnsi="Times New Roman" w:eastAsia="Batang" w:cs="Batang"/>
      <w:kern w:val="0"/>
      <w:sz w:val="13"/>
      <w:szCs w:val="13"/>
      <w:u w:val="none"/>
      <w:lang w:val="en-US" w:eastAsia="en-US" w:bidi="ar-SA"/>
    </w:rPr>
  </w:style>
  <w:style w:type="character" w:customStyle="1" w:styleId="248">
    <w:name w:val="正文文本 + Gungsuh2"/>
    <w:qFormat/>
    <w:uiPriority w:val="0"/>
    <w:rPr>
      <w:rFonts w:ascii="Gungsuh" w:hAnsi="Times New Roman" w:eastAsia="Gungsuh" w:cs="Gungsuh"/>
      <w:kern w:val="0"/>
      <w:sz w:val="15"/>
      <w:szCs w:val="15"/>
      <w:u w:val="none"/>
      <w:lang w:val="en-US" w:eastAsia="en-US" w:bidi="ar-SA"/>
    </w:rPr>
  </w:style>
  <w:style w:type="character" w:customStyle="1" w:styleId="249">
    <w:name w:val="正文文本 + Gungsuh1"/>
    <w:qFormat/>
    <w:uiPriority w:val="0"/>
    <w:rPr>
      <w:rFonts w:ascii="Gungsuh" w:hAnsi="Times New Roman" w:eastAsia="Gungsuh" w:cs="Gungsuh"/>
      <w:kern w:val="0"/>
      <w:sz w:val="14"/>
      <w:szCs w:val="14"/>
      <w:u w:val="none"/>
      <w:lang w:val="en-US" w:eastAsia="en-US" w:bidi="ar-SA"/>
    </w:rPr>
  </w:style>
  <w:style w:type="character" w:customStyle="1" w:styleId="250">
    <w:name w:val="正文文本 + Batang4"/>
    <w:qFormat/>
    <w:uiPriority w:val="0"/>
    <w:rPr>
      <w:rFonts w:ascii="Batang" w:hAnsi="Times New Roman" w:eastAsia="Batang" w:cs="Batang"/>
      <w:kern w:val="0"/>
      <w:sz w:val="8"/>
      <w:szCs w:val="8"/>
      <w:u w:val="none"/>
      <w:lang w:val="en-US" w:eastAsia="zh-CN" w:bidi="ar-SA"/>
    </w:rPr>
  </w:style>
  <w:style w:type="character" w:customStyle="1" w:styleId="251">
    <w:name w:val="正文文本 (32)_"/>
    <w:link w:val="252"/>
    <w:qFormat/>
    <w:uiPriority w:val="0"/>
    <w:rPr>
      <w:rFonts w:ascii="MingLiU" w:eastAsia="MingLiU"/>
      <w:spacing w:val="-10"/>
      <w:shd w:val="clear" w:color="auto" w:fill="FFFFFF"/>
    </w:rPr>
  </w:style>
  <w:style w:type="paragraph" w:customStyle="1" w:styleId="252">
    <w:name w:val="正文文本 (32)1"/>
    <w:basedOn w:val="1"/>
    <w:link w:val="251"/>
    <w:qFormat/>
    <w:uiPriority w:val="0"/>
    <w:pPr>
      <w:shd w:val="clear" w:color="auto" w:fill="FFFFFF"/>
      <w:spacing w:line="317" w:lineRule="exact"/>
      <w:jc w:val="distribute"/>
    </w:pPr>
    <w:rPr>
      <w:rFonts w:ascii="MingLiU" w:eastAsia="MingLiU" w:hAnsiTheme="minorHAnsi" w:cstheme="minorBidi"/>
      <w:spacing w:val="-10"/>
      <w:szCs w:val="22"/>
    </w:rPr>
  </w:style>
  <w:style w:type="character" w:customStyle="1" w:styleId="253">
    <w:name w:val="正文文本 (32)"/>
    <w:basedOn w:val="251"/>
    <w:qFormat/>
    <w:uiPriority w:val="0"/>
    <w:rPr>
      <w:rFonts w:ascii="MingLiU" w:eastAsia="MingLiU"/>
      <w:spacing w:val="-10"/>
      <w:shd w:val="clear" w:color="auto" w:fill="FFFFFF"/>
    </w:rPr>
  </w:style>
  <w:style w:type="character" w:customStyle="1" w:styleId="254">
    <w:name w:val="正文文本 (32) + Batang4"/>
    <w:qFormat/>
    <w:uiPriority w:val="0"/>
    <w:rPr>
      <w:rFonts w:ascii="Batang" w:eastAsia="Batang" w:cs="Batang"/>
      <w:spacing w:val="-10"/>
      <w:sz w:val="18"/>
      <w:szCs w:val="18"/>
      <w:shd w:val="clear" w:color="auto" w:fill="FFFFFF"/>
      <w:lang w:val="en-US" w:eastAsia="en-US"/>
    </w:rPr>
  </w:style>
  <w:style w:type="character" w:customStyle="1" w:styleId="255">
    <w:name w:val="图片标题 (6) Exact"/>
    <w:qFormat/>
    <w:uiPriority w:val="0"/>
    <w:rPr>
      <w:rFonts w:ascii="宋体" w:hAnsi="宋体" w:cs="宋体"/>
      <w:spacing w:val="2"/>
      <w:sz w:val="20"/>
      <w:szCs w:val="20"/>
      <w:u w:val="none"/>
    </w:rPr>
  </w:style>
  <w:style w:type="character" w:customStyle="1" w:styleId="256">
    <w:name w:val="图片标题 (8)_"/>
    <w:link w:val="257"/>
    <w:qFormat/>
    <w:uiPriority w:val="0"/>
    <w:rPr>
      <w:rFonts w:ascii="MingLiU" w:eastAsia="MingLiU"/>
      <w:sz w:val="16"/>
      <w:szCs w:val="16"/>
      <w:shd w:val="clear" w:color="auto" w:fill="FFFFFF"/>
    </w:rPr>
  </w:style>
  <w:style w:type="paragraph" w:customStyle="1" w:styleId="257">
    <w:name w:val="图片标题 (8)"/>
    <w:basedOn w:val="1"/>
    <w:link w:val="256"/>
    <w:qFormat/>
    <w:uiPriority w:val="0"/>
    <w:pPr>
      <w:shd w:val="clear" w:color="auto" w:fill="FFFFFF"/>
      <w:spacing w:line="240" w:lineRule="atLeast"/>
      <w:jc w:val="left"/>
    </w:pPr>
    <w:rPr>
      <w:rFonts w:ascii="MingLiU" w:eastAsia="MingLiU" w:hAnsiTheme="minorHAnsi" w:cstheme="minorBidi"/>
      <w:sz w:val="16"/>
      <w:szCs w:val="16"/>
    </w:rPr>
  </w:style>
  <w:style w:type="character" w:customStyle="1" w:styleId="258">
    <w:name w:val="图片标题 (8) + Batang"/>
    <w:qFormat/>
    <w:uiPriority w:val="0"/>
    <w:rPr>
      <w:rFonts w:ascii="Batang" w:eastAsia="Batang" w:cs="Batang"/>
      <w:sz w:val="16"/>
      <w:szCs w:val="16"/>
      <w:shd w:val="clear" w:color="auto" w:fill="FFFFFF"/>
      <w:lang w:val="en-US" w:eastAsia="en-US"/>
    </w:rPr>
  </w:style>
  <w:style w:type="character" w:customStyle="1" w:styleId="259">
    <w:name w:val="正文文本 + Batang7"/>
    <w:qFormat/>
    <w:uiPriority w:val="0"/>
    <w:rPr>
      <w:rFonts w:ascii="Batang" w:hAnsi="Times New Roman" w:eastAsia="Batang" w:cs="Batang"/>
      <w:kern w:val="0"/>
      <w:sz w:val="21"/>
      <w:u w:val="none"/>
      <w:lang w:val="en-US" w:eastAsia="en-US" w:bidi="ar-SA"/>
    </w:rPr>
  </w:style>
  <w:style w:type="character" w:customStyle="1" w:styleId="260">
    <w:name w:val="正文文本 + SimSun12"/>
    <w:qFormat/>
    <w:uiPriority w:val="0"/>
    <w:rPr>
      <w:rFonts w:ascii="宋体" w:hAnsi="宋体" w:eastAsia="MingLiU" w:cs="宋体"/>
      <w:kern w:val="0"/>
      <w:sz w:val="21"/>
      <w:u w:val="none"/>
      <w:lang w:val="en-US" w:eastAsia="zh-CN" w:bidi="ar-SA"/>
    </w:rPr>
  </w:style>
  <w:style w:type="character" w:customStyle="1" w:styleId="261">
    <w:name w:val="正文文本 (6)_"/>
    <w:link w:val="262"/>
    <w:qFormat/>
    <w:uiPriority w:val="0"/>
    <w:rPr>
      <w:rFonts w:ascii="Batang" w:eastAsia="Batang"/>
      <w:shd w:val="clear" w:color="auto" w:fill="FFFFFF"/>
      <w:lang w:eastAsia="en-US"/>
    </w:rPr>
  </w:style>
  <w:style w:type="paragraph" w:customStyle="1" w:styleId="262">
    <w:name w:val="正文文本 (6)1"/>
    <w:basedOn w:val="1"/>
    <w:link w:val="261"/>
    <w:qFormat/>
    <w:uiPriority w:val="0"/>
    <w:pPr>
      <w:shd w:val="clear" w:color="auto" w:fill="FFFFFF"/>
      <w:spacing w:line="240" w:lineRule="atLeast"/>
      <w:ind w:hanging="660"/>
      <w:jc w:val="left"/>
    </w:pPr>
    <w:rPr>
      <w:rFonts w:ascii="Batang" w:eastAsia="Batang" w:hAnsiTheme="minorHAnsi" w:cstheme="minorBidi"/>
      <w:szCs w:val="22"/>
      <w:lang w:eastAsia="en-US"/>
    </w:rPr>
  </w:style>
  <w:style w:type="character" w:customStyle="1" w:styleId="263">
    <w:name w:val="正文文本 (6)2"/>
    <w:basedOn w:val="261"/>
    <w:qFormat/>
    <w:uiPriority w:val="0"/>
    <w:rPr>
      <w:rFonts w:ascii="Batang" w:eastAsia="Batang"/>
      <w:shd w:val="clear" w:color="auto" w:fill="FFFFFF"/>
      <w:lang w:eastAsia="en-US"/>
    </w:rPr>
  </w:style>
  <w:style w:type="character" w:customStyle="1" w:styleId="264">
    <w:name w:val="正文文本 (6) + 斜体1"/>
    <w:qFormat/>
    <w:uiPriority w:val="0"/>
    <w:rPr>
      <w:rFonts w:ascii="Batang" w:eastAsia="Batang"/>
      <w:i/>
      <w:iCs/>
      <w:shd w:val="clear" w:color="auto" w:fill="FFFFFF"/>
      <w:lang w:eastAsia="en-US"/>
    </w:rPr>
  </w:style>
  <w:style w:type="character" w:customStyle="1" w:styleId="265">
    <w:name w:val="正文文本 + 8 pt6"/>
    <w:qFormat/>
    <w:uiPriority w:val="0"/>
    <w:rPr>
      <w:rFonts w:ascii="MingLiU" w:hAnsi="Times New Roman" w:eastAsia="MingLiU" w:cs="MingLiU"/>
      <w:kern w:val="0"/>
      <w:sz w:val="16"/>
      <w:szCs w:val="16"/>
      <w:u w:val="none"/>
      <w:lang w:val="en-US" w:eastAsia="zh-CN" w:bidi="ar-SA"/>
    </w:rPr>
  </w:style>
  <w:style w:type="character" w:customStyle="1" w:styleId="266">
    <w:name w:val="正文文本 + 8 pt5"/>
    <w:qFormat/>
    <w:uiPriority w:val="0"/>
    <w:rPr>
      <w:rFonts w:ascii="MingLiU" w:hAnsi="Times New Roman" w:eastAsia="MingLiU" w:cs="MingLiU"/>
      <w:kern w:val="0"/>
      <w:sz w:val="16"/>
      <w:szCs w:val="16"/>
      <w:u w:val="none"/>
      <w:lang w:val="en-US" w:eastAsia="en-US" w:bidi="ar-SA"/>
    </w:rPr>
  </w:style>
  <w:style w:type="character" w:customStyle="1" w:styleId="267">
    <w:name w:val="表格标题 (13)_"/>
    <w:link w:val="268"/>
    <w:qFormat/>
    <w:uiPriority w:val="0"/>
    <w:rPr>
      <w:rFonts w:ascii="MingLiU" w:eastAsia="MingLiU"/>
      <w:spacing w:val="-10"/>
      <w:shd w:val="clear" w:color="auto" w:fill="FFFFFF"/>
    </w:rPr>
  </w:style>
  <w:style w:type="paragraph" w:customStyle="1" w:styleId="268">
    <w:name w:val="表格标题 (13)"/>
    <w:basedOn w:val="1"/>
    <w:link w:val="267"/>
    <w:qFormat/>
    <w:uiPriority w:val="0"/>
    <w:pPr>
      <w:shd w:val="clear" w:color="auto" w:fill="FFFFFF"/>
      <w:spacing w:line="240" w:lineRule="atLeast"/>
      <w:jc w:val="left"/>
    </w:pPr>
    <w:rPr>
      <w:rFonts w:ascii="MingLiU" w:eastAsia="MingLiU" w:hAnsiTheme="minorHAnsi" w:cstheme="minorBidi"/>
      <w:spacing w:val="-10"/>
      <w:szCs w:val="22"/>
    </w:rPr>
  </w:style>
  <w:style w:type="character" w:customStyle="1" w:styleId="269">
    <w:name w:val="表格标题 (13) + Batang"/>
    <w:qFormat/>
    <w:uiPriority w:val="0"/>
    <w:rPr>
      <w:rFonts w:ascii="Batang" w:eastAsia="Batang" w:cs="Batang"/>
      <w:b/>
      <w:bCs/>
      <w:spacing w:val="0"/>
      <w:sz w:val="17"/>
      <w:szCs w:val="17"/>
      <w:shd w:val="clear" w:color="auto" w:fill="FFFFFF"/>
      <w:lang w:val="en-US" w:eastAsia="en-US"/>
    </w:rPr>
  </w:style>
  <w:style w:type="character" w:customStyle="1" w:styleId="270">
    <w:name w:val="表格标题 (14)_"/>
    <w:link w:val="271"/>
    <w:qFormat/>
    <w:uiPriority w:val="0"/>
    <w:rPr>
      <w:rFonts w:ascii="宋体" w:hAnsi="宋体"/>
      <w:sz w:val="17"/>
      <w:szCs w:val="17"/>
      <w:shd w:val="clear" w:color="auto" w:fill="FFFFFF"/>
    </w:rPr>
  </w:style>
  <w:style w:type="paragraph" w:customStyle="1" w:styleId="271">
    <w:name w:val="表格标题 (14)"/>
    <w:basedOn w:val="1"/>
    <w:link w:val="270"/>
    <w:qFormat/>
    <w:uiPriority w:val="0"/>
    <w:pPr>
      <w:shd w:val="clear" w:color="auto" w:fill="FFFFFF"/>
      <w:spacing w:line="240" w:lineRule="atLeast"/>
      <w:jc w:val="left"/>
    </w:pPr>
    <w:rPr>
      <w:rFonts w:ascii="宋体" w:hAnsi="宋体" w:eastAsiaTheme="minorEastAsia" w:cstheme="minorBidi"/>
      <w:sz w:val="17"/>
      <w:szCs w:val="17"/>
    </w:rPr>
  </w:style>
  <w:style w:type="character" w:customStyle="1" w:styleId="272">
    <w:name w:val="表格标题 (14) + Batang"/>
    <w:qFormat/>
    <w:uiPriority w:val="0"/>
    <w:rPr>
      <w:rFonts w:ascii="Batang" w:hAnsi="宋体" w:eastAsia="Batang" w:cs="Batang"/>
      <w:sz w:val="16"/>
      <w:szCs w:val="16"/>
      <w:shd w:val="clear" w:color="auto" w:fill="FFFFFF"/>
      <w:lang w:val="en-US" w:eastAsia="en-US"/>
    </w:rPr>
  </w:style>
  <w:style w:type="character" w:customStyle="1" w:styleId="273">
    <w:name w:val="表格标题 (14) + Batang1"/>
    <w:qFormat/>
    <w:uiPriority w:val="0"/>
    <w:rPr>
      <w:rFonts w:ascii="Batang" w:hAnsi="宋体" w:eastAsia="Batang" w:cs="Batang"/>
      <w:spacing w:val="40"/>
      <w:sz w:val="16"/>
      <w:szCs w:val="16"/>
      <w:shd w:val="clear" w:color="auto" w:fill="FFFFFF"/>
      <w:lang w:val="en-US" w:eastAsia="en-US"/>
    </w:rPr>
  </w:style>
  <w:style w:type="character" w:customStyle="1" w:styleId="274">
    <w:name w:val="表格标题_"/>
    <w:link w:val="275"/>
    <w:qFormat/>
    <w:uiPriority w:val="0"/>
    <w:rPr>
      <w:rFonts w:ascii="MingLiU" w:eastAsia="MingLiU"/>
      <w:sz w:val="16"/>
      <w:szCs w:val="16"/>
      <w:shd w:val="clear" w:color="auto" w:fill="FFFFFF"/>
    </w:rPr>
  </w:style>
  <w:style w:type="paragraph" w:customStyle="1" w:styleId="275">
    <w:name w:val="表格标题1"/>
    <w:basedOn w:val="1"/>
    <w:link w:val="274"/>
    <w:qFormat/>
    <w:uiPriority w:val="0"/>
    <w:pPr>
      <w:shd w:val="clear" w:color="auto" w:fill="FFFFFF"/>
      <w:spacing w:line="240" w:lineRule="atLeast"/>
      <w:ind w:hanging="560"/>
      <w:jc w:val="left"/>
    </w:pPr>
    <w:rPr>
      <w:rFonts w:ascii="MingLiU" w:eastAsia="MingLiU" w:hAnsiTheme="minorHAnsi" w:cstheme="minorBidi"/>
      <w:sz w:val="16"/>
      <w:szCs w:val="16"/>
    </w:rPr>
  </w:style>
  <w:style w:type="character" w:customStyle="1" w:styleId="276">
    <w:name w:val="表格标题2"/>
    <w:basedOn w:val="274"/>
    <w:qFormat/>
    <w:uiPriority w:val="0"/>
    <w:rPr>
      <w:rFonts w:ascii="MingLiU" w:eastAsia="MingLiU"/>
      <w:sz w:val="16"/>
      <w:szCs w:val="16"/>
      <w:shd w:val="clear" w:color="auto" w:fill="FFFFFF"/>
    </w:rPr>
  </w:style>
  <w:style w:type="character" w:customStyle="1" w:styleId="277">
    <w:name w:val="表格标题 + 间距 -1 pt"/>
    <w:qFormat/>
    <w:uiPriority w:val="0"/>
    <w:rPr>
      <w:rFonts w:ascii="MingLiU" w:eastAsia="MingLiU"/>
      <w:spacing w:val="-30"/>
      <w:sz w:val="16"/>
      <w:szCs w:val="16"/>
      <w:shd w:val="clear" w:color="auto" w:fill="FFFFFF"/>
    </w:rPr>
  </w:style>
  <w:style w:type="character" w:customStyle="1" w:styleId="278">
    <w:name w:val="正文文本 + 8 pt3"/>
    <w:qFormat/>
    <w:uiPriority w:val="0"/>
    <w:rPr>
      <w:rFonts w:ascii="MingLiU" w:hAnsi="Times New Roman" w:eastAsia="MingLiU" w:cs="MingLiU"/>
      <w:i/>
      <w:iCs/>
      <w:spacing w:val="-30"/>
      <w:kern w:val="0"/>
      <w:sz w:val="16"/>
      <w:szCs w:val="16"/>
      <w:u w:val="none"/>
      <w:lang w:val="en-US" w:eastAsia="en-US" w:bidi="ar-SA"/>
    </w:rPr>
  </w:style>
  <w:style w:type="character" w:customStyle="1" w:styleId="279">
    <w:name w:val="正文文本 + 8 pt2"/>
    <w:qFormat/>
    <w:uiPriority w:val="0"/>
    <w:rPr>
      <w:rFonts w:ascii="MingLiU" w:hAnsi="Times New Roman" w:eastAsia="MingLiU" w:cs="MingLiU"/>
      <w:spacing w:val="-30"/>
      <w:kern w:val="0"/>
      <w:sz w:val="16"/>
      <w:szCs w:val="16"/>
      <w:u w:val="none"/>
      <w:lang w:val="en-US" w:eastAsia="zh-CN" w:bidi="ar-SA"/>
    </w:rPr>
  </w:style>
  <w:style w:type="character" w:customStyle="1" w:styleId="280">
    <w:name w:val="表格标题 + 间距 1 pt"/>
    <w:qFormat/>
    <w:uiPriority w:val="0"/>
    <w:rPr>
      <w:rFonts w:ascii="MingLiU" w:eastAsia="MingLiU" w:cs="MingLiU"/>
      <w:spacing w:val="20"/>
      <w:sz w:val="16"/>
      <w:szCs w:val="16"/>
      <w:u w:val="none"/>
      <w:shd w:val="clear" w:color="auto" w:fill="FFFFFF"/>
    </w:rPr>
  </w:style>
  <w:style w:type="character" w:customStyle="1" w:styleId="281">
    <w:name w:val="脚注 (2) + SimHei"/>
    <w:qFormat/>
    <w:uiPriority w:val="0"/>
    <w:rPr>
      <w:rFonts w:ascii="黑体" w:hAnsi="黑体" w:cs="黑体"/>
      <w:sz w:val="28"/>
      <w:szCs w:val="28"/>
      <w:u w:val="none"/>
      <w:lang w:val="en-US" w:eastAsia="en-US"/>
    </w:rPr>
  </w:style>
  <w:style w:type="character" w:customStyle="1" w:styleId="282">
    <w:name w:val="正文文本 (11)"/>
    <w:qFormat/>
    <w:uiPriority w:val="0"/>
    <w:rPr>
      <w:rFonts w:ascii="宋体" w:hAnsi="宋体" w:cs="宋体"/>
      <w:b/>
      <w:bCs/>
      <w:sz w:val="19"/>
      <w:szCs w:val="19"/>
      <w:u w:val="none"/>
    </w:rPr>
  </w:style>
  <w:style w:type="character" w:customStyle="1" w:styleId="283">
    <w:name w:val="正文文本 (11) + Batang1"/>
    <w:qFormat/>
    <w:uiPriority w:val="0"/>
    <w:rPr>
      <w:rFonts w:ascii="Batang" w:eastAsia="Batang" w:cs="Batang"/>
      <w:sz w:val="19"/>
      <w:szCs w:val="19"/>
      <w:u w:val="none"/>
      <w:lang w:val="en-US" w:eastAsia="en-US"/>
    </w:rPr>
  </w:style>
  <w:style w:type="character" w:customStyle="1" w:styleId="284">
    <w:name w:val="正文文本 + Batang9"/>
    <w:qFormat/>
    <w:uiPriority w:val="0"/>
    <w:rPr>
      <w:rFonts w:ascii="Batang" w:hAnsi="Times New Roman" w:eastAsia="Batang" w:cs="Batang"/>
      <w:kern w:val="0"/>
      <w:sz w:val="21"/>
      <w:u w:val="none"/>
      <w:lang w:val="en-US" w:eastAsia="en-US" w:bidi="ar-SA"/>
    </w:rPr>
  </w:style>
  <w:style w:type="character" w:customStyle="1" w:styleId="285">
    <w:name w:val="正文文本 + SimSun8"/>
    <w:qFormat/>
    <w:uiPriority w:val="0"/>
    <w:rPr>
      <w:rFonts w:ascii="宋体" w:hAnsi="宋体" w:eastAsia="MingLiU" w:cs="宋体"/>
      <w:kern w:val="0"/>
      <w:sz w:val="21"/>
      <w:u w:val="none"/>
      <w:lang w:val="en-US" w:eastAsia="zh-CN" w:bidi="ar-SA"/>
    </w:rPr>
  </w:style>
  <w:style w:type="character" w:customStyle="1" w:styleId="286">
    <w:name w:val="正文文本 + SimSun10"/>
    <w:qFormat/>
    <w:uiPriority w:val="0"/>
    <w:rPr>
      <w:rFonts w:ascii="宋体" w:hAnsi="宋体" w:eastAsia="MingLiU" w:cs="宋体"/>
      <w:kern w:val="0"/>
      <w:sz w:val="21"/>
      <w:u w:val="none"/>
      <w:lang w:val="en-US" w:eastAsia="zh-CN" w:bidi="ar-SA"/>
    </w:rPr>
  </w:style>
  <w:style w:type="character" w:customStyle="1" w:styleId="287">
    <w:name w:val="正文文本 + 11.5 pt"/>
    <w:qFormat/>
    <w:uiPriority w:val="0"/>
    <w:rPr>
      <w:rFonts w:ascii="MingLiU" w:hAnsi="Times New Roman" w:eastAsia="MingLiU" w:cs="MingLiU"/>
      <w:i/>
      <w:iCs/>
      <w:spacing w:val="-50"/>
      <w:kern w:val="0"/>
      <w:sz w:val="23"/>
      <w:szCs w:val="23"/>
      <w:u w:val="none"/>
      <w:lang w:val="en-US" w:eastAsia="zh-CN" w:bidi="ar-SA"/>
    </w:rPr>
  </w:style>
  <w:style w:type="character" w:customStyle="1" w:styleId="288">
    <w:name w:val="正文文本 + Batang3"/>
    <w:qFormat/>
    <w:uiPriority w:val="0"/>
    <w:rPr>
      <w:rFonts w:ascii="Batang" w:hAnsi="Times New Roman" w:eastAsia="Batang" w:cs="Batang"/>
      <w:spacing w:val="10"/>
      <w:kern w:val="0"/>
      <w:sz w:val="16"/>
      <w:szCs w:val="16"/>
      <w:u w:val="none"/>
      <w:lang w:val="en-US" w:eastAsia="en-US" w:bidi="ar-SA"/>
    </w:rPr>
  </w:style>
  <w:style w:type="character" w:customStyle="1" w:styleId="289">
    <w:name w:val="正文文本 + 8 pt1"/>
    <w:qFormat/>
    <w:uiPriority w:val="0"/>
    <w:rPr>
      <w:rFonts w:ascii="MingLiU" w:hAnsi="Times New Roman" w:eastAsia="MingLiU" w:cs="MingLiU"/>
      <w:kern w:val="0"/>
      <w:sz w:val="16"/>
      <w:szCs w:val="16"/>
      <w:u w:val="none"/>
      <w:lang w:val="en-US" w:eastAsia="zh-CN" w:bidi="ar-SA"/>
    </w:rPr>
  </w:style>
  <w:style w:type="character" w:customStyle="1" w:styleId="290">
    <w:name w:val="正文文本 (6) + SimSun1"/>
    <w:qFormat/>
    <w:uiPriority w:val="0"/>
    <w:rPr>
      <w:rFonts w:ascii="宋体" w:hAnsi="宋体" w:eastAsia="Batang" w:cs="宋体"/>
      <w:u w:val="none"/>
      <w:shd w:val="clear" w:color="auto" w:fill="FFFFFF"/>
      <w:lang w:eastAsia="en-US"/>
    </w:rPr>
  </w:style>
  <w:style w:type="character" w:customStyle="1" w:styleId="291">
    <w:name w:val="正文文本 + SimSun7"/>
    <w:qFormat/>
    <w:uiPriority w:val="0"/>
    <w:rPr>
      <w:rFonts w:ascii="宋体" w:hAnsi="宋体" w:eastAsia="MingLiU" w:cs="宋体"/>
      <w:spacing w:val="130"/>
      <w:kern w:val="0"/>
      <w:sz w:val="21"/>
      <w:u w:val="none"/>
      <w:lang w:val="en-US" w:eastAsia="zh-CN" w:bidi="ar-SA"/>
    </w:rPr>
  </w:style>
  <w:style w:type="character" w:customStyle="1" w:styleId="292">
    <w:name w:val="正文文本 (36)_"/>
    <w:link w:val="293"/>
    <w:qFormat/>
    <w:uiPriority w:val="0"/>
    <w:rPr>
      <w:rFonts w:ascii="宋体" w:hAnsi="宋体"/>
      <w:sz w:val="22"/>
      <w:shd w:val="clear" w:color="auto" w:fill="FFFFFF"/>
    </w:rPr>
  </w:style>
  <w:style w:type="paragraph" w:customStyle="1" w:styleId="293">
    <w:name w:val="正文文本 (36)"/>
    <w:basedOn w:val="1"/>
    <w:link w:val="292"/>
    <w:qFormat/>
    <w:uiPriority w:val="0"/>
    <w:pPr>
      <w:shd w:val="clear" w:color="auto" w:fill="FFFFFF"/>
      <w:spacing w:before="360" w:after="60" w:line="240" w:lineRule="atLeast"/>
      <w:jc w:val="center"/>
    </w:pPr>
    <w:rPr>
      <w:rFonts w:ascii="宋体" w:hAnsi="宋体" w:eastAsiaTheme="minorEastAsia" w:cstheme="minorBidi"/>
      <w:sz w:val="22"/>
      <w:szCs w:val="22"/>
    </w:rPr>
  </w:style>
  <w:style w:type="character" w:customStyle="1" w:styleId="294">
    <w:name w:val="正文文本 (36) + Batang"/>
    <w:qFormat/>
    <w:uiPriority w:val="0"/>
    <w:rPr>
      <w:rFonts w:ascii="Batang" w:hAnsi="宋体" w:eastAsia="Batang" w:cs="Batang"/>
      <w:b/>
      <w:bCs/>
      <w:sz w:val="20"/>
      <w:szCs w:val="20"/>
      <w:shd w:val="clear" w:color="auto" w:fill="FFFFFF"/>
    </w:rPr>
  </w:style>
  <w:style w:type="character" w:customStyle="1" w:styleId="295">
    <w:name w:val="正文文本 (36) + 16 pt"/>
    <w:qFormat/>
    <w:uiPriority w:val="0"/>
    <w:rPr>
      <w:rFonts w:ascii="宋体" w:hAnsi="宋体"/>
      <w:sz w:val="32"/>
      <w:szCs w:val="32"/>
      <w:shd w:val="clear" w:color="auto" w:fill="FFFFFF"/>
    </w:rPr>
  </w:style>
  <w:style w:type="character" w:customStyle="1" w:styleId="296">
    <w:name w:val="正文文本 + SimSun2"/>
    <w:qFormat/>
    <w:uiPriority w:val="0"/>
    <w:rPr>
      <w:rFonts w:ascii="宋体" w:hAnsi="宋体" w:eastAsia="MingLiU" w:cs="宋体"/>
      <w:kern w:val="0"/>
      <w:sz w:val="21"/>
      <w:u w:val="none"/>
      <w:lang w:val="en-US" w:eastAsia="zh-CN" w:bidi="ar-SA"/>
    </w:rPr>
  </w:style>
  <w:style w:type="character" w:customStyle="1" w:styleId="297">
    <w:name w:val="正文文本 + Batang51"/>
    <w:qFormat/>
    <w:uiPriority w:val="0"/>
    <w:rPr>
      <w:rFonts w:ascii="Batang" w:hAnsi="黑体" w:eastAsia="Batang" w:cs="Batang"/>
      <w:sz w:val="20"/>
      <w:szCs w:val="20"/>
      <w:lang w:val="en-US" w:eastAsia="en-US" w:bidi="ar-SA"/>
    </w:rPr>
  </w:style>
  <w:style w:type="character" w:customStyle="1" w:styleId="298">
    <w:name w:val="正文文本 (8)_"/>
    <w:link w:val="299"/>
    <w:qFormat/>
    <w:uiPriority w:val="0"/>
    <w:rPr>
      <w:rFonts w:ascii="黑体" w:hAnsi="黑体"/>
      <w:sz w:val="22"/>
      <w:shd w:val="clear" w:color="auto" w:fill="FFFFFF"/>
    </w:rPr>
  </w:style>
  <w:style w:type="paragraph" w:customStyle="1" w:styleId="299">
    <w:name w:val="正文文本 (8)1"/>
    <w:basedOn w:val="1"/>
    <w:link w:val="298"/>
    <w:qFormat/>
    <w:uiPriority w:val="0"/>
    <w:pPr>
      <w:shd w:val="clear" w:color="auto" w:fill="FFFFFF"/>
      <w:spacing w:line="335" w:lineRule="exact"/>
      <w:jc w:val="left"/>
    </w:pPr>
    <w:rPr>
      <w:rFonts w:ascii="黑体" w:hAnsi="黑体" w:eastAsiaTheme="minorEastAsia" w:cstheme="minorBidi"/>
      <w:sz w:val="22"/>
      <w:szCs w:val="22"/>
    </w:rPr>
  </w:style>
  <w:style w:type="character" w:customStyle="1" w:styleId="300">
    <w:name w:val="正文文本 (3)8"/>
    <w:qFormat/>
    <w:uiPriority w:val="0"/>
    <w:rPr>
      <w:rFonts w:ascii="Batang" w:eastAsia="Batang"/>
      <w:lang w:val="en-US" w:eastAsia="en-US" w:bidi="ar-SA"/>
    </w:rPr>
  </w:style>
  <w:style w:type="character" w:customStyle="1" w:styleId="301">
    <w:name w:val="正文文本 (3) + SimHei16"/>
    <w:qFormat/>
    <w:uiPriority w:val="0"/>
    <w:rPr>
      <w:rFonts w:ascii="黑体" w:hAnsi="黑体" w:eastAsia="Batang" w:cs="黑体"/>
      <w:sz w:val="22"/>
      <w:szCs w:val="22"/>
      <w:lang w:val="en-US" w:eastAsia="en-US" w:bidi="ar-SA"/>
    </w:rPr>
  </w:style>
  <w:style w:type="character" w:customStyle="1" w:styleId="302">
    <w:name w:val="页眉或页脚 + Batang2"/>
    <w:qFormat/>
    <w:uiPriority w:val="0"/>
    <w:rPr>
      <w:rFonts w:ascii="Batang" w:hAnsi="黑体" w:eastAsia="Batang" w:cs="Batang"/>
      <w:b/>
      <w:bCs/>
      <w:spacing w:val="0"/>
      <w:sz w:val="19"/>
      <w:szCs w:val="19"/>
      <w:lang w:val="en-US" w:eastAsia="en-US" w:bidi="ar-SA"/>
    </w:rPr>
  </w:style>
  <w:style w:type="character" w:customStyle="1" w:styleId="303">
    <w:name w:val="标题 #4_"/>
    <w:link w:val="304"/>
    <w:qFormat/>
    <w:uiPriority w:val="0"/>
    <w:rPr>
      <w:rFonts w:ascii="黑体" w:hAnsi="黑体"/>
      <w:sz w:val="22"/>
      <w:shd w:val="clear" w:color="auto" w:fill="FFFFFF"/>
    </w:rPr>
  </w:style>
  <w:style w:type="paragraph" w:customStyle="1" w:styleId="304">
    <w:name w:val="标题 #41"/>
    <w:basedOn w:val="1"/>
    <w:link w:val="303"/>
    <w:qFormat/>
    <w:uiPriority w:val="0"/>
    <w:pPr>
      <w:shd w:val="clear" w:color="auto" w:fill="FFFFFF"/>
      <w:spacing w:before="120" w:after="300" w:line="240" w:lineRule="atLeast"/>
      <w:ind w:hanging="320"/>
      <w:jc w:val="center"/>
      <w:outlineLvl w:val="3"/>
    </w:pPr>
    <w:rPr>
      <w:rFonts w:ascii="黑体" w:hAnsi="黑体" w:eastAsiaTheme="minorEastAsia" w:cstheme="minorBidi"/>
      <w:sz w:val="22"/>
      <w:szCs w:val="22"/>
    </w:rPr>
  </w:style>
  <w:style w:type="character" w:customStyle="1" w:styleId="305">
    <w:name w:val="标题 #4 + Batang"/>
    <w:qFormat/>
    <w:uiPriority w:val="0"/>
    <w:rPr>
      <w:rFonts w:ascii="Batang" w:hAnsi="黑体" w:eastAsia="Batang" w:cs="Batang"/>
      <w:sz w:val="20"/>
      <w:szCs w:val="20"/>
      <w:shd w:val="clear" w:color="auto" w:fill="FFFFFF"/>
      <w:lang w:val="en-US" w:eastAsia="en-US"/>
    </w:rPr>
  </w:style>
  <w:style w:type="character" w:customStyle="1" w:styleId="306">
    <w:name w:val="正文文本 + Batang42"/>
    <w:qFormat/>
    <w:uiPriority w:val="0"/>
    <w:rPr>
      <w:rFonts w:ascii="Batang" w:hAnsi="黑体" w:eastAsia="Batang" w:cs="Batang"/>
      <w:sz w:val="21"/>
      <w:szCs w:val="21"/>
      <w:lang w:val="en-US" w:eastAsia="en-US" w:bidi="ar-SA"/>
    </w:rPr>
  </w:style>
  <w:style w:type="character" w:customStyle="1" w:styleId="307">
    <w:name w:val="正文文本 + MingLiU9"/>
    <w:qFormat/>
    <w:uiPriority w:val="0"/>
    <w:rPr>
      <w:rFonts w:ascii="MingLiU" w:hAnsi="黑体" w:eastAsia="MingLiU" w:cs="MingLiU"/>
      <w:spacing w:val="-30"/>
      <w:sz w:val="22"/>
      <w:szCs w:val="22"/>
      <w:lang w:bidi="ar-SA"/>
    </w:rPr>
  </w:style>
  <w:style w:type="character" w:customStyle="1" w:styleId="308">
    <w:name w:val="正文文本 + Batang41"/>
    <w:qFormat/>
    <w:uiPriority w:val="0"/>
    <w:rPr>
      <w:rFonts w:ascii="Batang" w:hAnsi="黑体" w:eastAsia="Batang" w:cs="Batang"/>
      <w:sz w:val="20"/>
      <w:szCs w:val="20"/>
      <w:lang w:val="en-US" w:eastAsia="en-US" w:bidi="ar-SA"/>
    </w:rPr>
  </w:style>
  <w:style w:type="character" w:customStyle="1" w:styleId="309">
    <w:name w:val="正文文本 (8)"/>
    <w:basedOn w:val="298"/>
    <w:qFormat/>
    <w:uiPriority w:val="0"/>
    <w:rPr>
      <w:rFonts w:ascii="黑体" w:hAnsi="黑体"/>
      <w:sz w:val="22"/>
      <w:shd w:val="clear" w:color="auto" w:fill="FFFFFF"/>
    </w:rPr>
  </w:style>
  <w:style w:type="character" w:customStyle="1" w:styleId="310">
    <w:name w:val="正文文本 (8) + Batang12"/>
    <w:qFormat/>
    <w:uiPriority w:val="0"/>
    <w:rPr>
      <w:rFonts w:ascii="Batang" w:hAnsi="黑体" w:eastAsia="Batang" w:cs="Batang"/>
      <w:sz w:val="19"/>
      <w:szCs w:val="19"/>
      <w:shd w:val="clear" w:color="auto" w:fill="FFFFFF"/>
    </w:rPr>
  </w:style>
  <w:style w:type="character" w:customStyle="1" w:styleId="311">
    <w:name w:val="正文文本 (8) + Corbel"/>
    <w:qFormat/>
    <w:uiPriority w:val="0"/>
    <w:rPr>
      <w:rFonts w:ascii="Corbel" w:hAnsi="Corbel" w:cs="Corbel"/>
      <w:sz w:val="35"/>
      <w:szCs w:val="35"/>
      <w:shd w:val="clear" w:color="auto" w:fill="FFFFFF"/>
      <w:lang w:val="en-US" w:eastAsia="en-US"/>
    </w:rPr>
  </w:style>
  <w:style w:type="character" w:customStyle="1" w:styleId="312">
    <w:name w:val="正文文本 (8) + Batang11"/>
    <w:qFormat/>
    <w:uiPriority w:val="0"/>
    <w:rPr>
      <w:rFonts w:ascii="Batang" w:hAnsi="黑体" w:eastAsia="Batang" w:cs="Batang"/>
      <w:sz w:val="21"/>
      <w:szCs w:val="21"/>
      <w:shd w:val="clear" w:color="auto" w:fill="FFFFFF"/>
      <w:lang w:val="en-US" w:eastAsia="en-US"/>
    </w:rPr>
  </w:style>
  <w:style w:type="character" w:customStyle="1" w:styleId="313">
    <w:name w:val="正文文本 + 10 pt8"/>
    <w:qFormat/>
    <w:uiPriority w:val="0"/>
    <w:rPr>
      <w:rFonts w:ascii="MingLiU" w:hAnsi="黑体" w:eastAsia="MingLiU"/>
      <w:b/>
      <w:bCs/>
      <w:sz w:val="20"/>
      <w:szCs w:val="20"/>
      <w:lang w:val="en-US" w:eastAsia="en-US" w:bidi="ar-SA"/>
    </w:rPr>
  </w:style>
  <w:style w:type="character" w:customStyle="1" w:styleId="314">
    <w:name w:val="正文文本 + SimSun19"/>
    <w:qFormat/>
    <w:uiPriority w:val="0"/>
    <w:rPr>
      <w:rFonts w:ascii="宋体" w:hAnsi="宋体" w:eastAsia="MingLiU" w:cs="宋体"/>
      <w:sz w:val="21"/>
      <w:szCs w:val="21"/>
      <w:lang w:bidi="ar-SA"/>
    </w:rPr>
  </w:style>
  <w:style w:type="character" w:customStyle="1" w:styleId="315">
    <w:name w:val="正文文本 (4)_"/>
    <w:link w:val="316"/>
    <w:qFormat/>
    <w:uiPriority w:val="0"/>
    <w:rPr>
      <w:rFonts w:ascii="MingLiU" w:eastAsia="MingLiU"/>
      <w:b/>
      <w:bCs/>
      <w:spacing w:val="-10"/>
      <w:shd w:val="clear" w:color="auto" w:fill="FFFFFF"/>
      <w:lang w:eastAsia="en-US"/>
    </w:rPr>
  </w:style>
  <w:style w:type="paragraph" w:customStyle="1" w:styleId="316">
    <w:name w:val="正文文本 (4)1"/>
    <w:basedOn w:val="1"/>
    <w:link w:val="315"/>
    <w:qFormat/>
    <w:uiPriority w:val="0"/>
    <w:pPr>
      <w:shd w:val="clear" w:color="auto" w:fill="FFFFFF"/>
      <w:spacing w:before="3000" w:line="240" w:lineRule="atLeast"/>
      <w:ind w:hanging="460"/>
      <w:jc w:val="center"/>
    </w:pPr>
    <w:rPr>
      <w:rFonts w:ascii="MingLiU" w:eastAsia="MingLiU" w:hAnsiTheme="minorHAnsi" w:cstheme="minorBidi"/>
      <w:b/>
      <w:bCs/>
      <w:spacing w:val="-10"/>
      <w:szCs w:val="22"/>
      <w:lang w:eastAsia="en-US"/>
    </w:rPr>
  </w:style>
  <w:style w:type="character" w:customStyle="1" w:styleId="317">
    <w:name w:val="正文文本 (4) + 间距 0 pt"/>
    <w:qFormat/>
    <w:uiPriority w:val="0"/>
    <w:rPr>
      <w:rFonts w:ascii="MingLiU" w:eastAsia="MingLiU"/>
      <w:b/>
      <w:bCs/>
      <w:spacing w:val="0"/>
      <w:shd w:val="clear" w:color="auto" w:fill="FFFFFF"/>
      <w:lang w:eastAsia="en-US"/>
    </w:rPr>
  </w:style>
  <w:style w:type="character" w:customStyle="1" w:styleId="318">
    <w:name w:val="正文文本 (3)_"/>
    <w:link w:val="319"/>
    <w:qFormat/>
    <w:uiPriority w:val="0"/>
    <w:rPr>
      <w:rFonts w:ascii="Batang" w:eastAsia="Batang"/>
      <w:shd w:val="clear" w:color="auto" w:fill="FFFFFF"/>
      <w:lang w:eastAsia="en-US"/>
    </w:rPr>
  </w:style>
  <w:style w:type="paragraph" w:customStyle="1" w:styleId="319">
    <w:name w:val="正文文本 (3)1"/>
    <w:basedOn w:val="1"/>
    <w:link w:val="318"/>
    <w:qFormat/>
    <w:uiPriority w:val="0"/>
    <w:pPr>
      <w:shd w:val="clear" w:color="auto" w:fill="FFFFFF"/>
      <w:spacing w:before="120" w:after="780" w:line="240" w:lineRule="atLeast"/>
      <w:ind w:hanging="460"/>
      <w:jc w:val="center"/>
    </w:pPr>
    <w:rPr>
      <w:rFonts w:ascii="Batang" w:eastAsia="Batang" w:hAnsiTheme="minorHAnsi" w:cstheme="minorBidi"/>
      <w:szCs w:val="22"/>
      <w:lang w:eastAsia="en-US"/>
    </w:rPr>
  </w:style>
  <w:style w:type="character" w:customStyle="1" w:styleId="320">
    <w:name w:val="页眉或页脚_"/>
    <w:link w:val="321"/>
    <w:qFormat/>
    <w:uiPriority w:val="0"/>
    <w:rPr>
      <w:rFonts w:ascii="黑体" w:hAnsi="黑体"/>
      <w:b/>
      <w:bCs/>
      <w:spacing w:val="-10"/>
      <w:sz w:val="22"/>
      <w:shd w:val="clear" w:color="auto" w:fill="FFFFFF"/>
    </w:rPr>
  </w:style>
  <w:style w:type="paragraph" w:customStyle="1" w:styleId="321">
    <w:name w:val="页眉或页脚1"/>
    <w:basedOn w:val="1"/>
    <w:link w:val="320"/>
    <w:qFormat/>
    <w:uiPriority w:val="0"/>
    <w:pPr>
      <w:shd w:val="clear" w:color="auto" w:fill="FFFFFF"/>
      <w:spacing w:line="240" w:lineRule="atLeast"/>
      <w:jc w:val="left"/>
    </w:pPr>
    <w:rPr>
      <w:rFonts w:ascii="黑体" w:hAnsi="黑体" w:eastAsiaTheme="minorEastAsia" w:cstheme="minorBidi"/>
      <w:b/>
      <w:bCs/>
      <w:spacing w:val="-10"/>
      <w:sz w:val="22"/>
      <w:szCs w:val="22"/>
    </w:rPr>
  </w:style>
  <w:style w:type="character" w:customStyle="1" w:styleId="322">
    <w:name w:val="页眉或页脚 + Batang"/>
    <w:qFormat/>
    <w:uiPriority w:val="0"/>
    <w:rPr>
      <w:rFonts w:ascii="Batang" w:hAnsi="黑体" w:eastAsia="Batang" w:cs="Batang"/>
      <w:b/>
      <w:bCs/>
      <w:spacing w:val="0"/>
      <w:sz w:val="18"/>
      <w:szCs w:val="18"/>
      <w:shd w:val="clear" w:color="auto" w:fill="FFFFFF"/>
    </w:rPr>
  </w:style>
  <w:style w:type="character" w:customStyle="1" w:styleId="323">
    <w:name w:val="页眉或页脚 + Batang4"/>
    <w:qFormat/>
    <w:uiPriority w:val="0"/>
    <w:rPr>
      <w:rFonts w:ascii="Batang" w:hAnsi="黑体" w:eastAsia="Batang" w:cs="Batang"/>
      <w:b/>
      <w:bCs/>
      <w:spacing w:val="0"/>
      <w:sz w:val="18"/>
      <w:szCs w:val="18"/>
      <w:shd w:val="clear" w:color="auto" w:fill="FFFFFF"/>
    </w:rPr>
  </w:style>
  <w:style w:type="character" w:customStyle="1" w:styleId="324">
    <w:name w:val="表格标题3"/>
    <w:qFormat/>
    <w:uiPriority w:val="0"/>
    <w:rPr>
      <w:rFonts w:ascii="黑体" w:hAnsi="黑体" w:eastAsia="MingLiU"/>
      <w:sz w:val="22"/>
      <w:szCs w:val="22"/>
      <w:shd w:val="clear" w:color="auto" w:fill="FFFFFF"/>
    </w:rPr>
  </w:style>
  <w:style w:type="character" w:customStyle="1" w:styleId="325">
    <w:name w:val="表格标题 + Batang3"/>
    <w:qFormat/>
    <w:uiPriority w:val="0"/>
    <w:rPr>
      <w:rFonts w:ascii="Batang" w:hAnsi="黑体" w:eastAsia="Batang" w:cs="Batang"/>
      <w:sz w:val="20"/>
      <w:szCs w:val="20"/>
      <w:shd w:val="clear" w:color="auto" w:fill="FFFFFF"/>
      <w:lang w:val="en-US" w:eastAsia="en-US"/>
    </w:rPr>
  </w:style>
  <w:style w:type="character" w:customStyle="1" w:styleId="326">
    <w:name w:val="正文文本 + Batang50"/>
    <w:qFormat/>
    <w:uiPriority w:val="0"/>
    <w:rPr>
      <w:rFonts w:ascii="Batang" w:hAnsi="黑体" w:eastAsia="Batang" w:cs="Batang"/>
      <w:sz w:val="21"/>
      <w:szCs w:val="21"/>
      <w:lang w:val="en-US" w:eastAsia="en-US" w:bidi="ar-SA"/>
    </w:rPr>
  </w:style>
  <w:style w:type="character" w:customStyle="1" w:styleId="327">
    <w:name w:val="页眉或页脚 + 间距 0 pt"/>
    <w:qFormat/>
    <w:uiPriority w:val="0"/>
    <w:rPr>
      <w:rFonts w:ascii="黑体" w:hAnsi="黑体"/>
      <w:b/>
      <w:bCs/>
      <w:spacing w:val="0"/>
      <w:sz w:val="22"/>
      <w:shd w:val="clear" w:color="auto" w:fill="FFFFFF"/>
    </w:rPr>
  </w:style>
  <w:style w:type="character" w:customStyle="1" w:styleId="328">
    <w:name w:val="正文文本 + 8 pt20"/>
    <w:qFormat/>
    <w:uiPriority w:val="0"/>
    <w:rPr>
      <w:rFonts w:ascii="黑体" w:hAnsi="黑体"/>
      <w:b/>
      <w:bCs/>
      <w:sz w:val="16"/>
      <w:szCs w:val="16"/>
      <w:lang w:bidi="ar-SA"/>
    </w:rPr>
  </w:style>
  <w:style w:type="character" w:customStyle="1" w:styleId="329">
    <w:name w:val="正文文本 + Batang36"/>
    <w:qFormat/>
    <w:uiPriority w:val="0"/>
    <w:rPr>
      <w:rFonts w:ascii="Batang" w:hAnsi="黑体" w:eastAsia="Batang" w:cs="Batang"/>
      <w:b/>
      <w:bCs/>
      <w:sz w:val="15"/>
      <w:szCs w:val="15"/>
      <w:lang w:bidi="ar-SA"/>
    </w:rPr>
  </w:style>
  <w:style w:type="character" w:customStyle="1" w:styleId="330">
    <w:name w:val="正文文本 (3) + 斜体"/>
    <w:qFormat/>
    <w:uiPriority w:val="0"/>
    <w:rPr>
      <w:rFonts w:ascii="Batang" w:eastAsia="Batang"/>
      <w:i/>
      <w:iCs/>
      <w:shd w:val="clear" w:color="auto" w:fill="FFFFFF"/>
      <w:lang w:eastAsia="en-US"/>
    </w:rPr>
  </w:style>
  <w:style w:type="character" w:customStyle="1" w:styleId="331">
    <w:name w:val="正文文本 + Batang35"/>
    <w:qFormat/>
    <w:uiPriority w:val="0"/>
    <w:rPr>
      <w:rFonts w:ascii="Batang" w:hAnsi="黑体" w:eastAsia="Batang" w:cs="Batang"/>
      <w:i/>
      <w:iCs/>
      <w:sz w:val="20"/>
      <w:szCs w:val="20"/>
      <w:lang w:val="en-US" w:eastAsia="en-US" w:bidi="ar-SA"/>
    </w:rPr>
  </w:style>
  <w:style w:type="character" w:customStyle="1" w:styleId="332">
    <w:name w:val="正文文本 + Batang34"/>
    <w:qFormat/>
    <w:uiPriority w:val="0"/>
    <w:rPr>
      <w:rFonts w:ascii="Batang" w:hAnsi="黑体" w:eastAsia="Batang" w:cs="Batang"/>
      <w:spacing w:val="-10"/>
      <w:sz w:val="20"/>
      <w:szCs w:val="20"/>
      <w:lang w:val="en-US" w:eastAsia="en-US" w:bidi="ar-SA"/>
    </w:rPr>
  </w:style>
  <w:style w:type="character" w:customStyle="1" w:styleId="333">
    <w:name w:val="正文文本 + MingLiU6"/>
    <w:qFormat/>
    <w:uiPriority w:val="0"/>
    <w:rPr>
      <w:rFonts w:ascii="MingLiU" w:hAnsi="黑体" w:eastAsia="MingLiU" w:cs="MingLiU"/>
      <w:b/>
      <w:bCs/>
      <w:sz w:val="19"/>
      <w:szCs w:val="19"/>
      <w:lang w:val="en-US" w:eastAsia="en-US" w:bidi="ar-SA"/>
    </w:rPr>
  </w:style>
  <w:style w:type="character" w:customStyle="1" w:styleId="334">
    <w:name w:val="正文文本 (89)_"/>
    <w:link w:val="335"/>
    <w:qFormat/>
    <w:uiPriority w:val="0"/>
    <w:rPr>
      <w:rFonts w:ascii="MingLiU" w:eastAsia="MingLiU"/>
      <w:b/>
      <w:bCs/>
      <w:sz w:val="19"/>
      <w:szCs w:val="19"/>
      <w:shd w:val="clear" w:color="auto" w:fill="FFFFFF"/>
      <w:lang w:eastAsia="en-US"/>
    </w:rPr>
  </w:style>
  <w:style w:type="paragraph" w:customStyle="1" w:styleId="335">
    <w:name w:val="正文文本 (89)"/>
    <w:basedOn w:val="1"/>
    <w:link w:val="334"/>
    <w:qFormat/>
    <w:uiPriority w:val="0"/>
    <w:pPr>
      <w:shd w:val="clear" w:color="auto" w:fill="FFFFFF"/>
      <w:spacing w:after="120" w:line="240" w:lineRule="atLeast"/>
      <w:jc w:val="left"/>
    </w:pPr>
    <w:rPr>
      <w:rFonts w:ascii="MingLiU" w:eastAsia="MingLiU" w:hAnsiTheme="minorHAnsi" w:cstheme="minorBidi"/>
      <w:b/>
      <w:bCs/>
      <w:sz w:val="19"/>
      <w:szCs w:val="19"/>
      <w:lang w:eastAsia="en-US"/>
    </w:rPr>
  </w:style>
  <w:style w:type="character" w:customStyle="1" w:styleId="336">
    <w:name w:val="正文文本 + 间距 -1 pt4"/>
    <w:qFormat/>
    <w:uiPriority w:val="0"/>
    <w:rPr>
      <w:rFonts w:ascii="黑体" w:hAnsi="黑体"/>
      <w:spacing w:val="-30"/>
      <w:sz w:val="22"/>
      <w:szCs w:val="22"/>
      <w:lang w:bidi="ar-SA"/>
    </w:rPr>
  </w:style>
  <w:style w:type="character" w:customStyle="1" w:styleId="337">
    <w:name w:val="正文文本 + 10.5 pt"/>
    <w:qFormat/>
    <w:uiPriority w:val="0"/>
    <w:rPr>
      <w:rFonts w:ascii="黑体" w:hAnsi="黑体"/>
      <w:sz w:val="21"/>
      <w:szCs w:val="21"/>
      <w:lang w:val="en-US" w:eastAsia="en-US" w:bidi="ar-SA"/>
    </w:rPr>
  </w:style>
  <w:style w:type="paragraph" w:customStyle="1" w:styleId="338">
    <w:name w:val="图"/>
    <w:basedOn w:val="1"/>
    <w:link w:val="339"/>
    <w:qFormat/>
    <w:uiPriority w:val="0"/>
    <w:pPr>
      <w:spacing w:line="360" w:lineRule="auto"/>
      <w:jc w:val="center"/>
    </w:pPr>
    <w:rPr>
      <w:kern w:val="0"/>
      <w:sz w:val="24"/>
      <w:szCs w:val="24"/>
    </w:rPr>
  </w:style>
  <w:style w:type="character" w:customStyle="1" w:styleId="339">
    <w:name w:val="图 Char"/>
    <w:link w:val="338"/>
    <w:qFormat/>
    <w:uiPriority w:val="0"/>
    <w:rPr>
      <w:rFonts w:ascii="Times New Roman" w:hAnsi="Times New Roman" w:eastAsia="宋体" w:cs="Times New Roman"/>
      <w:kern w:val="0"/>
      <w:sz w:val="24"/>
      <w:szCs w:val="24"/>
    </w:rPr>
  </w:style>
  <w:style w:type="paragraph" w:customStyle="1" w:styleId="340">
    <w:name w:val="表格"/>
    <w:basedOn w:val="1"/>
    <w:link w:val="341"/>
    <w:qFormat/>
    <w:uiPriority w:val="0"/>
    <w:pPr>
      <w:adjustRightInd w:val="0"/>
      <w:snapToGrid w:val="0"/>
      <w:spacing w:line="360" w:lineRule="auto"/>
      <w:ind w:left="-2" w:leftChars="-13" w:right="-154" w:rightChars="-64" w:hanging="29" w:hangingChars="14"/>
      <w:jc w:val="center"/>
    </w:pPr>
    <w:rPr>
      <w:kern w:val="0"/>
      <w:position w:val="-10"/>
      <w:sz w:val="24"/>
      <w:szCs w:val="21"/>
    </w:rPr>
  </w:style>
  <w:style w:type="character" w:customStyle="1" w:styleId="341">
    <w:name w:val="表格 Char"/>
    <w:link w:val="340"/>
    <w:qFormat/>
    <w:uiPriority w:val="0"/>
    <w:rPr>
      <w:rFonts w:ascii="Times New Roman" w:hAnsi="Times New Roman" w:eastAsia="宋体" w:cs="Times New Roman"/>
      <w:kern w:val="0"/>
      <w:position w:val="-10"/>
      <w:sz w:val="24"/>
      <w:szCs w:val="21"/>
    </w:rPr>
  </w:style>
  <w:style w:type="paragraph" w:customStyle="1" w:styleId="342">
    <w:name w:val="条"/>
    <w:basedOn w:val="1"/>
    <w:link w:val="343"/>
    <w:qFormat/>
    <w:uiPriority w:val="0"/>
    <w:pPr>
      <w:spacing w:line="360" w:lineRule="auto"/>
    </w:pPr>
    <w:rPr>
      <w:kern w:val="0"/>
      <w:sz w:val="24"/>
      <w:szCs w:val="24"/>
    </w:rPr>
  </w:style>
  <w:style w:type="character" w:customStyle="1" w:styleId="343">
    <w:name w:val="条 Char"/>
    <w:link w:val="342"/>
    <w:qFormat/>
    <w:locked/>
    <w:uiPriority w:val="0"/>
    <w:rPr>
      <w:rFonts w:ascii="Times New Roman" w:hAnsi="Times New Roman" w:eastAsia="宋体" w:cs="Times New Roman"/>
      <w:kern w:val="0"/>
      <w:sz w:val="24"/>
      <w:szCs w:val="24"/>
    </w:rPr>
  </w:style>
  <w:style w:type="paragraph" w:customStyle="1" w:styleId="344">
    <w:name w:val="款"/>
    <w:basedOn w:val="1"/>
    <w:qFormat/>
    <w:uiPriority w:val="0"/>
    <w:pPr>
      <w:spacing w:line="360" w:lineRule="auto"/>
      <w:ind w:firstLine="200" w:firstLineChars="200"/>
    </w:pPr>
    <w:rPr>
      <w:sz w:val="24"/>
      <w:szCs w:val="24"/>
    </w:rPr>
  </w:style>
  <w:style w:type="paragraph" w:customStyle="1" w:styleId="345">
    <w:name w:val="表格0"/>
    <w:basedOn w:val="344"/>
    <w:qFormat/>
    <w:uiPriority w:val="0"/>
    <w:pPr>
      <w:snapToGrid w:val="0"/>
      <w:spacing w:line="240" w:lineRule="auto"/>
      <w:ind w:left="1" w:leftChars="-53" w:right="-86" w:rightChars="-36" w:hanging="128" w:hangingChars="61"/>
      <w:jc w:val="center"/>
    </w:pPr>
    <w:rPr>
      <w:rFonts w:ascii="宋体" w:hAnsi="宋体"/>
      <w:szCs w:val="21"/>
    </w:rPr>
  </w:style>
  <w:style w:type="character" w:customStyle="1" w:styleId="346">
    <w:name w:val="样式 加粗"/>
    <w:qFormat/>
    <w:uiPriority w:val="0"/>
    <w:rPr>
      <w:b/>
      <w:bCs/>
      <w:sz w:val="21"/>
      <w:szCs w:val="21"/>
    </w:rPr>
  </w:style>
  <w:style w:type="character" w:customStyle="1" w:styleId="347">
    <w:name w:val="样式 样式 加粗 + 非加粗"/>
    <w:basedOn w:val="346"/>
    <w:qFormat/>
    <w:uiPriority w:val="0"/>
    <w:rPr>
      <w:sz w:val="21"/>
      <w:szCs w:val="21"/>
    </w:rPr>
  </w:style>
  <w:style w:type="paragraph" w:customStyle="1" w:styleId="348">
    <w:name w:val="图名"/>
    <w:basedOn w:val="1"/>
    <w:semiHidden/>
    <w:qFormat/>
    <w:uiPriority w:val="0"/>
    <w:pPr>
      <w:snapToGrid w:val="0"/>
      <w:spacing w:line="440" w:lineRule="atLeast"/>
      <w:jc w:val="center"/>
    </w:pPr>
    <w:rPr>
      <w:sz w:val="18"/>
      <w:szCs w:val="24"/>
    </w:rPr>
  </w:style>
  <w:style w:type="table" w:customStyle="1" w:styleId="349">
    <w:name w:val="样式1"/>
    <w:qFormat/>
    <w:uiPriority w:val="0"/>
    <w:rPr>
      <w:rFonts w:ascii="Times New Roman" w:hAnsi="Times New Roman" w:eastAsia="宋体" w:cs="Times New Roman"/>
    </w:rPr>
    <w:tblPr>
      <w:tblCellMar>
        <w:top w:w="0" w:type="dxa"/>
        <w:left w:w="108" w:type="dxa"/>
        <w:bottom w:w="0" w:type="dxa"/>
        <w:right w:w="108" w:type="dxa"/>
      </w:tblCellMar>
    </w:tblPr>
  </w:style>
  <w:style w:type="paragraph" w:customStyle="1" w:styleId="350">
    <w:name w:val="前言、引言标题"/>
    <w:next w:val="1"/>
    <w:qFormat/>
    <w:uiPriority w:val="0"/>
    <w:pPr>
      <w:shd w:val="clear" w:color="FFFFFF" w:fill="FFFFFF"/>
      <w:spacing w:before="640" w:after="560"/>
      <w:jc w:val="center"/>
      <w:outlineLvl w:val="0"/>
    </w:pPr>
    <w:rPr>
      <w:rFonts w:ascii="黑体" w:hAnsi="Times New Roman" w:eastAsia="黑体" w:cs="黑体"/>
      <w:sz w:val="32"/>
      <w:szCs w:val="32"/>
      <w:lang w:val="en-US" w:eastAsia="zh-CN" w:bidi="ar-SA"/>
    </w:rPr>
  </w:style>
  <w:style w:type="paragraph" w:customStyle="1" w:styleId="351">
    <w:name w:val="样式 条 + 小四 边框:: (单实线 自动设置  0.5 磅 行宽)"/>
    <w:basedOn w:val="342"/>
    <w:link w:val="352"/>
    <w:qFormat/>
    <w:uiPriority w:val="0"/>
    <w:rPr>
      <w:szCs w:val="21"/>
      <w:bdr w:val="single" w:color="auto" w:sz="4" w:space="0"/>
    </w:rPr>
  </w:style>
  <w:style w:type="character" w:customStyle="1" w:styleId="352">
    <w:name w:val="样式 条 + 小四 边框:: (单实线 自动设置  0.5 磅 行宽) Char"/>
    <w:link w:val="351"/>
    <w:qFormat/>
    <w:locked/>
    <w:uiPriority w:val="0"/>
    <w:rPr>
      <w:rFonts w:ascii="Times New Roman" w:hAnsi="Times New Roman" w:eastAsia="宋体" w:cs="Times New Roman"/>
      <w:kern w:val="0"/>
      <w:sz w:val="24"/>
      <w:szCs w:val="21"/>
      <w:bdr w:val="single" w:color="auto" w:sz="4" w:space="0"/>
    </w:rPr>
  </w:style>
  <w:style w:type="paragraph" w:customStyle="1" w:styleId="353">
    <w:name w:val="样式 条 + 小"/>
    <w:basedOn w:val="342"/>
    <w:link w:val="354"/>
    <w:qFormat/>
    <w:uiPriority w:val="0"/>
    <w:rPr>
      <w:szCs w:val="21"/>
    </w:rPr>
  </w:style>
  <w:style w:type="character" w:customStyle="1" w:styleId="354">
    <w:name w:val="样式 条 + 小 Char Char"/>
    <w:link w:val="353"/>
    <w:qFormat/>
    <w:locked/>
    <w:uiPriority w:val="0"/>
    <w:rPr>
      <w:rFonts w:ascii="Times New Roman" w:hAnsi="Times New Roman" w:eastAsia="宋体" w:cs="Times New Roman"/>
      <w:kern w:val="0"/>
      <w:sz w:val="24"/>
      <w:szCs w:val="21"/>
    </w:rPr>
  </w:style>
  <w:style w:type="character" w:customStyle="1" w:styleId="355">
    <w:name w:val="居中 Char"/>
    <w:link w:val="194"/>
    <w:qFormat/>
    <w:locked/>
    <w:uiPriority w:val="0"/>
    <w:rPr>
      <w:rFonts w:ascii="Times New Roman" w:hAnsi="Times New Roman" w:eastAsia="宋体" w:cs="Times New Roman"/>
      <w:color w:val="000000"/>
      <w:szCs w:val="32"/>
    </w:rPr>
  </w:style>
  <w:style w:type="character" w:customStyle="1" w:styleId="356">
    <w:name w:val="条款号 Char Char"/>
    <w:qFormat/>
    <w:uiPriority w:val="0"/>
    <w:rPr>
      <w:rFonts w:eastAsia="宋体"/>
      <w:b/>
      <w:bCs/>
      <w:kern w:val="2"/>
      <w:sz w:val="24"/>
      <w:szCs w:val="24"/>
      <w:lang w:val="en-US" w:eastAsia="zh-CN"/>
    </w:rPr>
  </w:style>
  <w:style w:type="character" w:customStyle="1" w:styleId="357">
    <w:name w:val="标题1"/>
    <w:basedOn w:val="48"/>
    <w:qFormat/>
    <w:uiPriority w:val="0"/>
  </w:style>
  <w:style w:type="character" w:customStyle="1" w:styleId="358">
    <w:name w:val="apple-converted-space"/>
    <w:basedOn w:val="48"/>
    <w:qFormat/>
    <w:uiPriority w:val="0"/>
  </w:style>
  <w:style w:type="character" w:customStyle="1" w:styleId="359">
    <w:name w:val="opt"/>
    <w:basedOn w:val="48"/>
    <w:qFormat/>
    <w:uiPriority w:val="0"/>
  </w:style>
  <w:style w:type="character" w:customStyle="1" w:styleId="360">
    <w:name w:val="icofont"/>
    <w:basedOn w:val="48"/>
    <w:qFormat/>
    <w:uiPriority w:val="0"/>
  </w:style>
  <w:style w:type="paragraph" w:customStyle="1" w:styleId="361">
    <w:name w:val="cardlist-name"/>
    <w:basedOn w:val="1"/>
    <w:qFormat/>
    <w:uiPriority w:val="0"/>
    <w:pPr>
      <w:widowControl/>
      <w:spacing w:before="100" w:beforeAutospacing="1" w:after="100" w:afterAutospacing="1" w:line="360" w:lineRule="auto"/>
      <w:jc w:val="left"/>
    </w:pPr>
    <w:rPr>
      <w:rFonts w:ascii="宋体" w:hAnsi="宋体" w:cs="宋体"/>
      <w:kern w:val="0"/>
      <w:sz w:val="24"/>
      <w:szCs w:val="24"/>
    </w:rPr>
  </w:style>
  <w:style w:type="paragraph" w:customStyle="1" w:styleId="362">
    <w:name w:val="cardlist-value"/>
    <w:basedOn w:val="1"/>
    <w:qFormat/>
    <w:uiPriority w:val="0"/>
    <w:pPr>
      <w:widowControl/>
      <w:spacing w:before="100" w:beforeAutospacing="1" w:after="100" w:afterAutospacing="1" w:line="360" w:lineRule="auto"/>
      <w:jc w:val="left"/>
    </w:pPr>
    <w:rPr>
      <w:rFonts w:ascii="宋体" w:hAnsi="宋体" w:cs="宋体"/>
      <w:kern w:val="0"/>
      <w:sz w:val="24"/>
      <w:szCs w:val="24"/>
    </w:rPr>
  </w:style>
  <w:style w:type="character" w:customStyle="1" w:styleId="363">
    <w:name w:val="switch"/>
    <w:basedOn w:val="48"/>
    <w:qFormat/>
    <w:uiPriority w:val="0"/>
  </w:style>
  <w:style w:type="character" w:customStyle="1" w:styleId="364">
    <w:name w:val="index"/>
    <w:basedOn w:val="48"/>
    <w:qFormat/>
    <w:uiPriority w:val="0"/>
  </w:style>
  <w:style w:type="paragraph" w:customStyle="1" w:styleId="365">
    <w:name w:val="Decimal Aligned"/>
    <w:basedOn w:val="1"/>
    <w:qFormat/>
    <w:uiPriority w:val="0"/>
    <w:pPr>
      <w:widowControl/>
      <w:tabs>
        <w:tab w:val="decimal" w:pos="360"/>
      </w:tabs>
      <w:spacing w:after="200" w:line="276" w:lineRule="auto"/>
      <w:jc w:val="left"/>
    </w:pPr>
    <w:rPr>
      <w:rFonts w:ascii="Calibri" w:hAnsi="Calibri"/>
      <w:kern w:val="0"/>
      <w:sz w:val="22"/>
      <w:szCs w:val="22"/>
    </w:rPr>
  </w:style>
  <w:style w:type="paragraph" w:customStyle="1" w:styleId="366">
    <w:name w:val="条编号"/>
    <w:basedOn w:val="1"/>
    <w:link w:val="367"/>
    <w:qFormat/>
    <w:uiPriority w:val="0"/>
    <w:pPr>
      <w:spacing w:line="440" w:lineRule="atLeast"/>
      <w:jc w:val="left"/>
    </w:pPr>
    <w:rPr>
      <w:rFonts w:ascii="黑体" w:hAnsi="宋体" w:eastAsia="黑体"/>
      <w:bCs/>
      <w:kern w:val="0"/>
      <w:sz w:val="24"/>
      <w:szCs w:val="24"/>
    </w:rPr>
  </w:style>
  <w:style w:type="character" w:customStyle="1" w:styleId="367">
    <w:name w:val="条编号 Char"/>
    <w:link w:val="366"/>
    <w:qFormat/>
    <w:uiPriority w:val="0"/>
    <w:rPr>
      <w:rFonts w:ascii="黑体" w:hAnsi="宋体" w:eastAsia="黑体" w:cs="Times New Roman"/>
      <w:bCs/>
      <w:kern w:val="0"/>
      <w:sz w:val="24"/>
      <w:szCs w:val="24"/>
    </w:rPr>
  </w:style>
  <w:style w:type="paragraph" w:customStyle="1" w:styleId="368">
    <w:name w:val="表格正文居中（ctrl+2）"/>
    <w:basedOn w:val="1"/>
    <w:link w:val="369"/>
    <w:qFormat/>
    <w:uiPriority w:val="0"/>
    <w:pPr>
      <w:spacing w:beforeLines="20" w:afterLines="20" w:line="288" w:lineRule="auto"/>
      <w:jc w:val="center"/>
    </w:pPr>
    <w:rPr>
      <w:rFonts w:ascii="Arial" w:hAnsi="Arial"/>
      <w:kern w:val="0"/>
      <w:sz w:val="24"/>
    </w:rPr>
  </w:style>
  <w:style w:type="character" w:customStyle="1" w:styleId="369">
    <w:name w:val="表格正文居中（ctrl+2） Char"/>
    <w:link w:val="368"/>
    <w:qFormat/>
    <w:uiPriority w:val="0"/>
    <w:rPr>
      <w:rFonts w:ascii="Arial" w:hAnsi="Arial" w:eastAsia="宋体" w:cs="Times New Roman"/>
      <w:kern w:val="0"/>
      <w:sz w:val="24"/>
      <w:szCs w:val="20"/>
    </w:rPr>
  </w:style>
  <w:style w:type="paragraph" w:customStyle="1" w:styleId="370">
    <w:name w:val="表格正文分散对齐（Ctrl+1）"/>
    <w:basedOn w:val="368"/>
    <w:qFormat/>
    <w:uiPriority w:val="0"/>
    <w:pPr>
      <w:spacing w:beforeLines="30" w:afterLines="30" w:line="240" w:lineRule="auto"/>
      <w:jc w:val="left"/>
      <w:textAlignment w:val="center"/>
    </w:pPr>
  </w:style>
  <w:style w:type="character" w:customStyle="1" w:styleId="371">
    <w:name w:val="javascript"/>
    <w:basedOn w:val="48"/>
    <w:qFormat/>
    <w:uiPriority w:val="0"/>
  </w:style>
  <w:style w:type="character" w:customStyle="1" w:styleId="372">
    <w:name w:val="Char Char10"/>
    <w:qFormat/>
    <w:locked/>
    <w:uiPriority w:val="0"/>
    <w:rPr>
      <w:b/>
      <w:bCs/>
      <w:kern w:val="44"/>
      <w:sz w:val="44"/>
      <w:szCs w:val="44"/>
    </w:rPr>
  </w:style>
  <w:style w:type="character" w:customStyle="1" w:styleId="373">
    <w:name w:val="Char Char8"/>
    <w:qFormat/>
    <w:locked/>
    <w:uiPriority w:val="0"/>
    <w:rPr>
      <w:b/>
      <w:bCs/>
      <w:sz w:val="32"/>
      <w:szCs w:val="32"/>
    </w:rPr>
  </w:style>
  <w:style w:type="paragraph" w:customStyle="1" w:styleId="374">
    <w:name w:val="TOC 标题1"/>
    <w:basedOn w:val="2"/>
    <w:next w:val="1"/>
    <w:unhideWhenUsed/>
    <w:qFormat/>
    <w:uiPriority w:val="39"/>
    <w:pPr>
      <w:widowControl/>
      <w:numPr>
        <w:numId w:val="0"/>
      </w:numPr>
      <w:tabs>
        <w:tab w:val="clear" w:pos="425"/>
      </w:tabs>
      <w:spacing w:before="0" w:beforeLines="50" w:after="0" w:afterLines="50" w:line="276" w:lineRule="auto"/>
      <w:jc w:val="left"/>
      <w:outlineLvl w:val="9"/>
    </w:pPr>
    <w:rPr>
      <w:rFonts w:ascii="Cambria" w:hAnsi="Cambria"/>
      <w:bCs/>
      <w:color w:val="365F91"/>
      <w:kern w:val="0"/>
      <w:sz w:val="30"/>
      <w:szCs w:val="28"/>
    </w:rPr>
  </w:style>
  <w:style w:type="paragraph" w:customStyle="1" w:styleId="375">
    <w:name w:val="默认段落字体 Para Char"/>
    <w:basedOn w:val="1"/>
    <w:semiHidden/>
    <w:qFormat/>
    <w:uiPriority w:val="0"/>
    <w:pPr>
      <w:tabs>
        <w:tab w:val="left" w:pos="432"/>
      </w:tabs>
      <w:spacing w:beforeLines="50" w:afterLines="50" w:line="360" w:lineRule="auto"/>
      <w:ind w:left="431" w:hanging="431"/>
    </w:pPr>
    <w:rPr>
      <w:sz w:val="28"/>
      <w:szCs w:val="24"/>
    </w:rPr>
  </w:style>
  <w:style w:type="character" w:customStyle="1" w:styleId="376">
    <w:name w:val="mail_head_subject_main_word1"/>
    <w:basedOn w:val="48"/>
    <w:qFormat/>
    <w:uiPriority w:val="0"/>
  </w:style>
  <w:style w:type="character" w:customStyle="1" w:styleId="377">
    <w:name w:val="mail_head_subject_last_word"/>
    <w:basedOn w:val="48"/>
    <w:qFormat/>
    <w:uiPriority w:val="0"/>
  </w:style>
  <w:style w:type="character" w:customStyle="1" w:styleId="378">
    <w:name w:val="Char Char12"/>
    <w:qFormat/>
    <w:uiPriority w:val="0"/>
    <w:rPr>
      <w:rFonts w:eastAsia="宋体"/>
      <w:kern w:val="2"/>
      <w:sz w:val="18"/>
      <w:szCs w:val="18"/>
      <w:lang w:val="en-US" w:eastAsia="zh-CN" w:bidi="ar-SA"/>
    </w:rPr>
  </w:style>
  <w:style w:type="character" w:customStyle="1" w:styleId="379">
    <w:name w:val="标题 字符"/>
    <w:basedOn w:val="48"/>
    <w:link w:val="42"/>
    <w:qFormat/>
    <w:uiPriority w:val="0"/>
    <w:rPr>
      <w:rFonts w:ascii="Cambria" w:hAnsi="Cambria" w:eastAsia="宋体" w:cs="Times New Roman"/>
      <w:b/>
      <w:bCs/>
      <w:kern w:val="28"/>
      <w:sz w:val="32"/>
      <w:szCs w:val="32"/>
    </w:rPr>
  </w:style>
  <w:style w:type="paragraph" w:customStyle="1" w:styleId="380">
    <w:name w:val="表题"/>
    <w:basedOn w:val="1"/>
    <w:qFormat/>
    <w:uiPriority w:val="0"/>
    <w:pPr>
      <w:adjustRightInd w:val="0"/>
      <w:snapToGrid w:val="0"/>
      <w:spacing w:line="440" w:lineRule="atLeast"/>
      <w:jc w:val="center"/>
    </w:pPr>
    <w:rPr>
      <w:rFonts w:eastAsia="黑体"/>
      <w:sz w:val="18"/>
      <w:szCs w:val="24"/>
    </w:rPr>
  </w:style>
  <w:style w:type="character" w:customStyle="1" w:styleId="381">
    <w:name w:val="正文文本 2 Char1"/>
    <w:semiHidden/>
    <w:qFormat/>
    <w:uiPriority w:val="0"/>
    <w:rPr>
      <w:rFonts w:eastAsia="宋体"/>
      <w:kern w:val="2"/>
      <w:sz w:val="21"/>
      <w:szCs w:val="22"/>
    </w:rPr>
  </w:style>
  <w:style w:type="character" w:customStyle="1" w:styleId="382">
    <w:name w:val="newstitle"/>
    <w:basedOn w:val="48"/>
    <w:qFormat/>
    <w:uiPriority w:val="0"/>
  </w:style>
  <w:style w:type="paragraph" w:customStyle="1" w:styleId="383">
    <w:name w:val="Char2 Char Char Char"/>
    <w:basedOn w:val="1"/>
    <w:qFormat/>
    <w:uiPriority w:val="0"/>
    <w:pPr>
      <w:spacing w:line="360" w:lineRule="auto"/>
    </w:pPr>
    <w:rPr>
      <w:rFonts w:ascii="楷体_GB2312" w:eastAsia="楷体_GB2312"/>
      <w:sz w:val="24"/>
      <w:szCs w:val="24"/>
    </w:rPr>
  </w:style>
  <w:style w:type="paragraph" w:customStyle="1" w:styleId="384">
    <w:name w:val="节1"/>
    <w:basedOn w:val="69"/>
    <w:qFormat/>
    <w:uiPriority w:val="0"/>
    <w:pPr>
      <w:snapToGrid w:val="0"/>
      <w:spacing w:beforeLines="0" w:afterLines="0" w:line="440" w:lineRule="atLeast"/>
      <w:outlineLvl w:val="9"/>
    </w:pPr>
    <w:rPr>
      <w:rFonts w:ascii="黑体" w:hAnsi="宋体" w:eastAsia="黑体"/>
      <w:b w:val="0"/>
      <w:bCs/>
      <w:kern w:val="0"/>
      <w:szCs w:val="24"/>
    </w:rPr>
  </w:style>
  <w:style w:type="paragraph" w:customStyle="1" w:styleId="385">
    <w:name w:val="项编号"/>
    <w:basedOn w:val="1"/>
    <w:semiHidden/>
    <w:qFormat/>
    <w:uiPriority w:val="0"/>
    <w:pPr>
      <w:snapToGrid w:val="0"/>
      <w:spacing w:line="440" w:lineRule="atLeast"/>
      <w:ind w:firstLine="300" w:firstLineChars="300"/>
      <w:jc w:val="left"/>
    </w:pPr>
    <w:rPr>
      <w:rFonts w:ascii="黑体" w:hAnsi="宋体"/>
      <w:bCs/>
      <w:sz w:val="24"/>
      <w:szCs w:val="24"/>
    </w:rPr>
  </w:style>
  <w:style w:type="character" w:customStyle="1" w:styleId="386">
    <w:name w:val="条编号 Char Char"/>
    <w:semiHidden/>
    <w:qFormat/>
    <w:uiPriority w:val="0"/>
    <w:rPr>
      <w:rFonts w:ascii="黑体" w:hAnsi="宋体" w:eastAsia="黑体"/>
      <w:bCs/>
      <w:kern w:val="2"/>
      <w:sz w:val="21"/>
      <w:szCs w:val="24"/>
      <w:lang w:val="en-US" w:eastAsia="zh-CN" w:bidi="ar-SA"/>
    </w:rPr>
  </w:style>
  <w:style w:type="paragraph" w:customStyle="1" w:styleId="387">
    <w:name w:val="标准称谓"/>
    <w:next w:val="1"/>
    <w:semiHidden/>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388">
    <w:name w:val="标准书脚_奇数页"/>
    <w:semiHidden/>
    <w:qFormat/>
    <w:uiPriority w:val="0"/>
    <w:pPr>
      <w:spacing w:before="120"/>
      <w:jc w:val="right"/>
    </w:pPr>
    <w:rPr>
      <w:rFonts w:ascii="Times New Roman" w:hAnsi="Times New Roman" w:eastAsia="宋体" w:cs="Times New Roman"/>
      <w:sz w:val="18"/>
      <w:lang w:val="en-US" w:eastAsia="zh-CN" w:bidi="ar-SA"/>
    </w:rPr>
  </w:style>
  <w:style w:type="paragraph" w:customStyle="1" w:styleId="389">
    <w:name w:val="标准书眉_奇数页"/>
    <w:next w:val="1"/>
    <w:semiHidden/>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90">
    <w:name w:val="标准书眉一"/>
    <w:semiHidden/>
    <w:qFormat/>
    <w:uiPriority w:val="0"/>
    <w:pPr>
      <w:jc w:val="both"/>
    </w:pPr>
    <w:rPr>
      <w:rFonts w:ascii="Times New Roman" w:hAnsi="Times New Roman" w:eastAsia="宋体" w:cs="Times New Roman"/>
      <w:lang w:val="en-US" w:eastAsia="zh-CN" w:bidi="ar-SA"/>
    </w:rPr>
  </w:style>
  <w:style w:type="paragraph" w:customStyle="1" w:styleId="391">
    <w:name w:val="发布日期"/>
    <w:semiHidden/>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392">
    <w:name w:val="封面标准名称"/>
    <w:semiHidden/>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93">
    <w:name w:val="封面标准文稿编辑信息"/>
    <w:semiHidden/>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94">
    <w:name w:val="封面标准文稿类别"/>
    <w:semiHidden/>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395">
    <w:name w:val="封面正文"/>
    <w:semiHidden/>
    <w:qFormat/>
    <w:uiPriority w:val="0"/>
    <w:pPr>
      <w:jc w:val="both"/>
    </w:pPr>
    <w:rPr>
      <w:rFonts w:ascii="Times New Roman" w:hAnsi="Times New Roman" w:eastAsia="宋体" w:cs="Times New Roman"/>
      <w:lang w:val="en-US" w:eastAsia="zh-CN" w:bidi="ar-SA"/>
    </w:rPr>
  </w:style>
  <w:style w:type="paragraph" w:customStyle="1" w:styleId="396">
    <w:name w:val="图表脚注"/>
    <w:next w:val="134"/>
    <w:semiHidden/>
    <w:qFormat/>
    <w:uiPriority w:val="0"/>
    <w:pPr>
      <w:tabs>
        <w:tab w:val="left" w:pos="1080"/>
      </w:tabs>
      <w:ind w:left="300" w:leftChars="200" w:hanging="100" w:hangingChars="100"/>
      <w:jc w:val="both"/>
    </w:pPr>
    <w:rPr>
      <w:rFonts w:ascii="宋体" w:hAnsi="Times New Roman" w:eastAsia="宋体" w:cs="Times New Roman"/>
      <w:sz w:val="18"/>
      <w:lang w:val="en-US" w:eastAsia="zh-CN" w:bidi="ar-SA"/>
    </w:rPr>
  </w:style>
  <w:style w:type="paragraph" w:customStyle="1" w:styleId="397">
    <w:name w:val="章1"/>
    <w:basedOn w:val="67"/>
    <w:qFormat/>
    <w:uiPriority w:val="0"/>
    <w:pPr>
      <w:spacing w:beforeLines="50" w:afterLines="50" w:line="240" w:lineRule="auto"/>
      <w:outlineLvl w:val="9"/>
    </w:pPr>
    <w:rPr>
      <w:rFonts w:eastAsia="黑体"/>
      <w:b w:val="0"/>
      <w:szCs w:val="32"/>
    </w:rPr>
  </w:style>
  <w:style w:type="paragraph" w:customStyle="1" w:styleId="398">
    <w:name w:val="Xx编号08"/>
    <w:basedOn w:val="1"/>
    <w:qFormat/>
    <w:uiPriority w:val="0"/>
    <w:pPr>
      <w:autoSpaceDE w:val="0"/>
      <w:autoSpaceDN w:val="0"/>
      <w:snapToGrid w:val="0"/>
      <w:spacing w:line="360" w:lineRule="auto"/>
      <w:outlineLvl w:val="7"/>
    </w:pPr>
    <w:rPr>
      <w:rFonts w:hAnsi="宋体"/>
      <w:color w:val="FF0000"/>
      <w:sz w:val="24"/>
      <w:szCs w:val="24"/>
    </w:rPr>
  </w:style>
  <w:style w:type="paragraph" w:customStyle="1" w:styleId="399">
    <w:name w:val="title5"/>
    <w:basedOn w:val="1"/>
    <w:qFormat/>
    <w:uiPriority w:val="0"/>
    <w:pPr>
      <w:widowControl/>
      <w:spacing w:before="100" w:beforeAutospacing="1" w:after="100" w:afterAutospacing="1" w:line="360" w:lineRule="auto"/>
      <w:jc w:val="left"/>
    </w:pPr>
    <w:rPr>
      <w:rFonts w:ascii="宋体" w:hAnsi="宋体" w:cs="宋体"/>
      <w:kern w:val="0"/>
      <w:sz w:val="24"/>
      <w:szCs w:val="24"/>
    </w:rPr>
  </w:style>
  <w:style w:type="paragraph" w:customStyle="1" w:styleId="400">
    <w:name w:val="列出段落2"/>
    <w:basedOn w:val="1"/>
    <w:qFormat/>
    <w:uiPriority w:val="34"/>
    <w:pPr>
      <w:spacing w:line="360" w:lineRule="auto"/>
      <w:ind w:firstLine="420" w:firstLineChars="200"/>
    </w:pPr>
    <w:rPr>
      <w:rFonts w:ascii="Calibri" w:hAnsi="Calibri"/>
      <w:sz w:val="24"/>
      <w:szCs w:val="22"/>
    </w:rPr>
  </w:style>
  <w:style w:type="paragraph" w:customStyle="1" w:styleId="401">
    <w:name w:val="附录图标题"/>
    <w:next w:val="1"/>
    <w:qFormat/>
    <w:uiPriority w:val="0"/>
    <w:pPr>
      <w:numPr>
        <w:ilvl w:val="0"/>
        <w:numId w:val="4"/>
      </w:numPr>
      <w:jc w:val="center"/>
    </w:pPr>
    <w:rPr>
      <w:rFonts w:ascii="黑体" w:hAnsi="Times New Roman" w:eastAsia="黑体" w:cs="Times New Roman"/>
      <w:sz w:val="21"/>
      <w:lang w:val="en-US" w:eastAsia="zh-CN" w:bidi="ar-SA"/>
    </w:rPr>
  </w:style>
  <w:style w:type="paragraph" w:customStyle="1" w:styleId="402">
    <w:name w:val="正文0"/>
    <w:basedOn w:val="1"/>
    <w:link w:val="409"/>
    <w:qFormat/>
    <w:uiPriority w:val="0"/>
    <w:pPr>
      <w:spacing w:line="360" w:lineRule="exact"/>
      <w:ind w:firstLine="420" w:firstLineChars="200"/>
    </w:pPr>
    <w:rPr>
      <w:rFonts w:ascii="宋体" w:hAnsi="宋体"/>
      <w:kern w:val="0"/>
      <w:sz w:val="20"/>
      <w:szCs w:val="21"/>
    </w:rPr>
  </w:style>
  <w:style w:type="paragraph" w:customStyle="1" w:styleId="403">
    <w:name w:val="样式 标题 1 + 段前: 0.5 行 段后: 0.5 行"/>
    <w:basedOn w:val="2"/>
    <w:qFormat/>
    <w:uiPriority w:val="0"/>
    <w:pPr>
      <w:tabs>
        <w:tab w:val="clear" w:pos="425"/>
      </w:tabs>
      <w:spacing w:before="0" w:beforeLines="50" w:after="0" w:afterLines="50" w:line="360" w:lineRule="auto"/>
      <w:ind w:left="0" w:firstLine="0"/>
      <w:jc w:val="center"/>
    </w:pPr>
    <w:rPr>
      <w:rFonts w:cs="宋体"/>
      <w:sz w:val="30"/>
    </w:rPr>
  </w:style>
  <w:style w:type="paragraph" w:customStyle="1" w:styleId="404">
    <w:name w:val="样式 额外单位 + 首行缩进:  2 字符"/>
    <w:basedOn w:val="1"/>
    <w:qFormat/>
    <w:uiPriority w:val="0"/>
    <w:pPr>
      <w:spacing w:line="288" w:lineRule="auto"/>
      <w:jc w:val="left"/>
    </w:pPr>
    <w:rPr>
      <w:rFonts w:eastAsia="黑体" w:cs="宋体"/>
      <w:b/>
      <w:bCs/>
      <w:color w:val="1F497D"/>
      <w:sz w:val="24"/>
    </w:rPr>
  </w:style>
  <w:style w:type="paragraph" w:customStyle="1" w:styleId="405">
    <w:name w:val="样式 选入内容 + 自动设置 首行缩进:  2 字符"/>
    <w:basedOn w:val="1"/>
    <w:qFormat/>
    <w:uiPriority w:val="0"/>
    <w:pPr>
      <w:spacing w:line="360" w:lineRule="auto"/>
      <w:ind w:firstLine="420" w:firstLineChars="200"/>
      <w:jc w:val="left"/>
    </w:pPr>
    <w:rPr>
      <w:rFonts w:eastAsia="楷体" w:cs="宋体"/>
      <w:sz w:val="24"/>
    </w:rPr>
  </w:style>
  <w:style w:type="character" w:customStyle="1" w:styleId="406">
    <w:name w:val="正文文本缩进 Char1"/>
    <w:basedOn w:val="48"/>
    <w:semiHidden/>
    <w:qFormat/>
    <w:uiPriority w:val="99"/>
  </w:style>
  <w:style w:type="paragraph" w:customStyle="1" w:styleId="407">
    <w:name w:val="表格字体"/>
    <w:next w:val="1"/>
    <w:qFormat/>
    <w:uiPriority w:val="0"/>
    <w:pPr>
      <w:jc w:val="center"/>
    </w:pPr>
    <w:rPr>
      <w:rFonts w:ascii="Times New Roman" w:hAnsi="Times New Roman" w:eastAsia="宋体" w:cs="Times New Roman"/>
      <w:kern w:val="2"/>
      <w:sz w:val="21"/>
      <w:szCs w:val="21"/>
      <w:lang w:val="en-US" w:eastAsia="zh-CN" w:bidi="ar-SA"/>
    </w:rPr>
  </w:style>
  <w:style w:type="paragraph" w:customStyle="1" w:styleId="408">
    <w:name w:val="条文说明："/>
    <w:basedOn w:val="1"/>
    <w:qFormat/>
    <w:uiPriority w:val="0"/>
    <w:pPr>
      <w:spacing w:line="360" w:lineRule="auto"/>
      <w:ind w:firstLine="200" w:firstLineChars="200"/>
      <w:jc w:val="left"/>
    </w:pPr>
    <w:rPr>
      <w:rFonts w:cs="宋体" w:eastAsiaTheme="minorEastAsia"/>
      <w:iCs/>
      <w:color w:val="000000" w:themeColor="text1"/>
      <w:sz w:val="24"/>
      <w14:textFill>
        <w14:solidFill>
          <w14:schemeClr w14:val="tx1"/>
        </w14:solidFill>
      </w14:textFill>
    </w:rPr>
  </w:style>
  <w:style w:type="character" w:customStyle="1" w:styleId="409">
    <w:name w:val="正文0 Char"/>
    <w:link w:val="402"/>
    <w:qFormat/>
    <w:uiPriority w:val="0"/>
    <w:rPr>
      <w:rFonts w:ascii="宋体" w:hAnsi="宋体" w:eastAsia="宋体" w:cs="Times New Roman"/>
      <w:kern w:val="0"/>
      <w:sz w:val="20"/>
      <w:szCs w:val="21"/>
    </w:rPr>
  </w:style>
  <w:style w:type="paragraph" w:customStyle="1" w:styleId="410">
    <w:name w:val="选入内容"/>
    <w:basedOn w:val="1"/>
    <w:qFormat/>
    <w:uiPriority w:val="0"/>
    <w:pPr>
      <w:spacing w:line="288" w:lineRule="auto"/>
      <w:ind w:firstLine="200" w:firstLineChars="200"/>
      <w:jc w:val="left"/>
    </w:pPr>
    <w:rPr>
      <w:rFonts w:eastAsia="楷体"/>
      <w:color w:val="FF0000"/>
      <w:szCs w:val="32"/>
    </w:rPr>
  </w:style>
  <w:style w:type="paragraph" w:customStyle="1" w:styleId="411">
    <w:name w:val="额外内容"/>
    <w:basedOn w:val="410"/>
    <w:qFormat/>
    <w:uiPriority w:val="0"/>
    <w:pPr>
      <w:ind w:firstLine="420"/>
    </w:pPr>
    <w:rPr>
      <w:color w:val="1F497D"/>
    </w:rPr>
  </w:style>
  <w:style w:type="paragraph" w:customStyle="1" w:styleId="412">
    <w:name w:val="条款后文字"/>
    <w:basedOn w:val="1"/>
    <w:next w:val="1"/>
    <w:qFormat/>
    <w:uiPriority w:val="0"/>
    <w:pPr>
      <w:spacing w:line="300" w:lineRule="auto"/>
      <w:ind w:firstLine="200" w:firstLineChars="200"/>
    </w:pPr>
    <w:rPr>
      <w:bCs/>
      <w:szCs w:val="32"/>
    </w:rPr>
  </w:style>
  <w:style w:type="paragraph" w:customStyle="1" w:styleId="413">
    <w:name w:val="实施日期"/>
    <w:basedOn w:val="1"/>
    <w:qFormat/>
    <w:uiPriority w:val="0"/>
    <w:pPr>
      <w:widowControl/>
      <w:jc w:val="right"/>
    </w:pPr>
    <w:rPr>
      <w:rFonts w:eastAsia="黑体"/>
      <w:kern w:val="0"/>
      <w:sz w:val="28"/>
    </w:rPr>
  </w:style>
  <w:style w:type="paragraph" w:customStyle="1" w:styleId="414">
    <w:name w:val="一般条文"/>
    <w:basedOn w:val="1"/>
    <w:qFormat/>
    <w:uiPriority w:val="0"/>
    <w:pPr>
      <w:spacing w:line="360" w:lineRule="auto"/>
    </w:pPr>
    <w:rPr>
      <w:sz w:val="24"/>
      <w:szCs w:val="21"/>
    </w:rPr>
  </w:style>
  <w:style w:type="paragraph" w:customStyle="1" w:styleId="415">
    <w:name w:val="表头0"/>
    <w:basedOn w:val="1"/>
    <w:link w:val="416"/>
    <w:qFormat/>
    <w:uiPriority w:val="0"/>
    <w:pPr>
      <w:spacing w:line="288" w:lineRule="auto"/>
      <w:jc w:val="center"/>
    </w:pPr>
    <w:rPr>
      <w:rFonts w:eastAsia="黑体"/>
      <w:sz w:val="18"/>
      <w:szCs w:val="21"/>
    </w:rPr>
  </w:style>
  <w:style w:type="character" w:customStyle="1" w:styleId="416">
    <w:name w:val="表头0 Char"/>
    <w:basedOn w:val="48"/>
    <w:link w:val="415"/>
    <w:qFormat/>
    <w:uiPriority w:val="0"/>
    <w:rPr>
      <w:rFonts w:ascii="Times New Roman" w:hAnsi="Times New Roman" w:eastAsia="黑体" w:cs="Times New Roman"/>
      <w:sz w:val="18"/>
      <w:szCs w:val="21"/>
    </w:rPr>
  </w:style>
  <w:style w:type="character" w:customStyle="1" w:styleId="417">
    <w:name w:val="副标题 字符"/>
    <w:basedOn w:val="48"/>
    <w:link w:val="32"/>
    <w:qFormat/>
    <w:uiPriority w:val="11"/>
    <w:rPr>
      <w:rFonts w:eastAsia="宋体" w:asciiTheme="majorHAnsi" w:hAnsiTheme="majorHAnsi" w:cstheme="majorBidi"/>
      <w:b/>
      <w:bCs/>
      <w:kern w:val="28"/>
      <w:sz w:val="32"/>
      <w:szCs w:val="32"/>
    </w:rPr>
  </w:style>
  <w:style w:type="character" w:customStyle="1" w:styleId="418">
    <w:name w:val="fw2"/>
    <w:basedOn w:val="48"/>
    <w:qFormat/>
    <w:uiPriority w:val="0"/>
  </w:style>
  <w:style w:type="paragraph" w:customStyle="1" w:styleId="419">
    <w:name w:val="Revision"/>
    <w:hidden/>
    <w:unhideWhenUsed/>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3.jpeg"/><Relationship Id="rId5" Type="http://schemas.openxmlformats.org/officeDocument/2006/relationships/footer" Target="footer2.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BA0CBD-D6BC-4C97-AC67-111CD35D4EBE}">
  <ds:schemaRefs/>
</ds:datastoreItem>
</file>

<file path=docProps/app.xml><?xml version="1.0" encoding="utf-8"?>
<Properties xmlns="http://schemas.openxmlformats.org/officeDocument/2006/extended-properties" xmlns:vt="http://schemas.openxmlformats.org/officeDocument/2006/docPropsVTypes">
  <Template>Normal.dotm</Template>
  <Pages>43</Pages>
  <Words>2809</Words>
  <Characters>16013</Characters>
  <Lines>133</Lines>
  <Paragraphs>37</Paragraphs>
  <TotalTime>5</TotalTime>
  <ScaleCrop>false</ScaleCrop>
  <LinksUpToDate>false</LinksUpToDate>
  <CharactersWithSpaces>18785</CharactersWithSpaces>
  <Application>WPS Office_11.8.6.8811_F1E327BC-269C-435d-A152-05C5408002CA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2023-11-06T03:38:00Z</dcterms:created>
  <dc:creator>李珊珊</dc:creator>
  <cp:lastModifiedBy>张璐</cp:lastModifiedBy>
  <cp:lastPrinted>2023-11-20T08:55:00Z</cp:lastPrinted>
  <dcterms:modified xsi:type="dcterms:W3CDTF">2023-12-08T01:13:28Z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y fmtid="{D5CDD505-2E9C-101B-9397-08002B2CF9AE}" pid="3" name="ICV">
    <vt:lpwstr>43A381797FC14AE2AFC822A6BABAC42B_13</vt:lpwstr>
  </property>
</Properties>
</file>