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01"/>
          <w:tab w:val="right" w:leader="dot" w:pos="9298"/>
        </w:tabs>
        <w:spacing w:line="300" w:lineRule="auto"/>
        <w:rPr>
          <w:rFonts w:cs="Times New Roman"/>
          <w:color w:val="auto"/>
          <w:szCs w:val="24"/>
        </w:rPr>
        <w:sectPr>
          <w:pgSz w:w="11906" w:h="16838"/>
          <w:pgMar w:top="567" w:right="850" w:bottom="1134" w:left="1418" w:header="0" w:footer="0" w:gutter="0"/>
          <w:pgNumType w:start="1"/>
          <w:cols w:space="720" w:num="1"/>
          <w:docGrid w:type="lines" w:linePitch="312" w:charSpace="0"/>
        </w:sectPr>
      </w:pPr>
      <w:bookmarkStart w:id="194" w:name="_GoBack"/>
      <w:r>
        <w:rPr>
          <w:rFonts w:cs="Times New Roman"/>
          <w:color w:val="auto"/>
        </w:rPr>
        <mc:AlternateContent>
          <mc:Choice Requires="wps">
            <w:drawing>
              <wp:anchor distT="45720" distB="45720" distL="114300" distR="114300" simplePos="0" relativeHeight="251660288" behindDoc="0" locked="0" layoutInCell="1" allowOverlap="1">
                <wp:simplePos x="0" y="0"/>
                <wp:positionH relativeFrom="column">
                  <wp:posOffset>-607695</wp:posOffset>
                </wp:positionH>
                <wp:positionV relativeFrom="paragraph">
                  <wp:posOffset>1994535</wp:posOffset>
                </wp:positionV>
                <wp:extent cx="6794500" cy="6228080"/>
                <wp:effectExtent l="0" t="0" r="0" b="1270"/>
                <wp:wrapSquare wrapText="bothSides"/>
                <wp:docPr id="156" name="文本框 48"/>
                <wp:cNvGraphicFramePr/>
                <a:graphic xmlns:a="http://schemas.openxmlformats.org/drawingml/2006/main">
                  <a:graphicData uri="http://schemas.microsoft.com/office/word/2010/wordprocessingShape">
                    <wps:wsp>
                      <wps:cNvSpPr txBox="1"/>
                      <wps:spPr>
                        <a:xfrm>
                          <a:off x="0" y="0"/>
                          <a:ext cx="6794500" cy="6228080"/>
                        </a:xfrm>
                        <a:prstGeom prst="rect">
                          <a:avLst/>
                        </a:prstGeom>
                        <a:noFill/>
                        <a:ln>
                          <a:noFill/>
                        </a:ln>
                      </wps:spPr>
                      <wps:txbx>
                        <w:txbxContent>
                          <w:p>
                            <w:pPr>
                              <w:pStyle w:val="105"/>
                              <w:rPr>
                                <w:rFonts w:ascii="华文行楷" w:eastAsia="华文行楷"/>
                                <w:sz w:val="72"/>
                                <w:szCs w:val="72"/>
                              </w:rPr>
                            </w:pPr>
                            <w:bookmarkStart w:id="193" w:name="_Hlk113872089"/>
                            <w:r>
                              <w:rPr>
                                <w:rFonts w:hint="eastAsia" w:ascii="华文行楷" w:eastAsia="华文行楷"/>
                                <w:sz w:val="72"/>
                                <w:szCs w:val="72"/>
                              </w:rPr>
                              <w:t>武汉市装配式混凝土结构</w:t>
                            </w:r>
                          </w:p>
                          <w:p>
                            <w:pPr>
                              <w:pStyle w:val="105"/>
                              <w:rPr>
                                <w:rFonts w:ascii="华文行楷" w:eastAsia="华文行楷"/>
                                <w:sz w:val="72"/>
                                <w:szCs w:val="72"/>
                              </w:rPr>
                            </w:pPr>
                            <w:r>
                              <w:rPr>
                                <w:rFonts w:hint="eastAsia" w:ascii="华文行楷" w:eastAsia="华文行楷"/>
                                <w:sz w:val="72"/>
                                <w:szCs w:val="72"/>
                              </w:rPr>
                              <w:t>质量验收指南</w:t>
                            </w:r>
                          </w:p>
                          <w:bookmarkEnd w:id="193"/>
                          <w:p>
                            <w:pPr>
                              <w:pStyle w:val="105"/>
                              <w:rPr>
                                <w:rFonts w:ascii="Times New Roman"/>
                                <w:sz w:val="32"/>
                                <w:szCs w:val="32"/>
                              </w:rPr>
                            </w:pPr>
                            <w:r>
                              <w:rPr>
                                <w:rFonts w:hint="eastAsia" w:ascii="Times New Roman"/>
                                <w:sz w:val="32"/>
                                <w:szCs w:val="32"/>
                              </w:rPr>
                              <w:t>（征求意见稿）</w:t>
                            </w: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r>
                              <w:rPr>
                                <w:rFonts w:ascii="Times New Roman"/>
                                <w:sz w:val="32"/>
                                <w:szCs w:val="32"/>
                              </w:rPr>
                              <w:t>武汉市</w:t>
                            </w:r>
                            <w:r>
                              <w:rPr>
                                <w:rFonts w:hint="eastAsia" w:ascii="Times New Roman"/>
                                <w:sz w:val="32"/>
                                <w:szCs w:val="32"/>
                              </w:rPr>
                              <w:t>城乡建设局</w:t>
                            </w:r>
                          </w:p>
                          <w:p>
                            <w:pPr>
                              <w:pStyle w:val="105"/>
                              <w:rPr>
                                <w:rFonts w:ascii="Times New Roman"/>
                                <w:sz w:val="32"/>
                                <w:szCs w:val="32"/>
                              </w:rPr>
                            </w:pPr>
                            <w:r>
                              <w:rPr>
                                <w:rFonts w:hint="eastAsia" w:ascii="Times New Roman"/>
                                <w:sz w:val="32"/>
                                <w:szCs w:val="32"/>
                              </w:rPr>
                              <w:t>2023年XX月</w:t>
                            </w: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txbxContent>
                      </wps:txbx>
                      <wps:bodyPr wrap="square" upright="1">
                        <a:noAutofit/>
                      </wps:bodyPr>
                    </wps:wsp>
                  </a:graphicData>
                </a:graphic>
              </wp:anchor>
            </w:drawing>
          </mc:Choice>
          <mc:Fallback>
            <w:pict>
              <v:shape id="文本框 48" o:spid="_x0000_s1026" o:spt="202" type="#_x0000_t202" style="position:absolute;left:0pt;margin-left:-47.85pt;margin-top:157.05pt;height:490.4pt;width:535pt;mso-wrap-distance-bottom:3.6pt;mso-wrap-distance-left:9pt;mso-wrap-distance-right:9pt;mso-wrap-distance-top:3.6pt;z-index:251660288;mso-width-relative:page;mso-height-relative:page;" filled="f" stroked="f" coordsize="21600,21600" o:gfxdata="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1bp92QAA&#10;AAwBAAAPAAAAAAAAAAEAIAAAACIAAABkcnMvZG93bnJldi54bWxQSwECFAAUAAAACACHTuJAL+DF&#10;B6sBAAAsAwAADgAAAAAAAAABACAAAAAoAQAAZHJzL2Uyb0RvYy54bWxQSwUGAAAAAAYABgBZAQAA&#10;RQUAAAAA&#10;">
                <v:fill on="f" focussize="0,0"/>
                <v:stroke on="f"/>
                <v:imagedata o:title=""/>
                <o:lock v:ext="edit" aspectratio="f"/>
                <v:textbox>
                  <w:txbxContent>
                    <w:p>
                      <w:pPr>
                        <w:pStyle w:val="105"/>
                        <w:rPr>
                          <w:rFonts w:ascii="华文行楷" w:eastAsia="华文行楷"/>
                          <w:sz w:val="72"/>
                          <w:szCs w:val="72"/>
                        </w:rPr>
                      </w:pPr>
                      <w:bookmarkStart w:id="193" w:name="_Hlk113872089"/>
                      <w:r>
                        <w:rPr>
                          <w:rFonts w:hint="eastAsia" w:ascii="华文行楷" w:eastAsia="华文行楷"/>
                          <w:sz w:val="72"/>
                          <w:szCs w:val="72"/>
                        </w:rPr>
                        <w:t>武汉市装配式混凝土结构</w:t>
                      </w:r>
                    </w:p>
                    <w:p>
                      <w:pPr>
                        <w:pStyle w:val="105"/>
                        <w:rPr>
                          <w:rFonts w:ascii="华文行楷" w:eastAsia="华文行楷"/>
                          <w:sz w:val="72"/>
                          <w:szCs w:val="72"/>
                        </w:rPr>
                      </w:pPr>
                      <w:r>
                        <w:rPr>
                          <w:rFonts w:hint="eastAsia" w:ascii="华文行楷" w:eastAsia="华文行楷"/>
                          <w:sz w:val="72"/>
                          <w:szCs w:val="72"/>
                        </w:rPr>
                        <w:t>质量验收指南</w:t>
                      </w:r>
                    </w:p>
                    <w:bookmarkEnd w:id="193"/>
                    <w:p>
                      <w:pPr>
                        <w:pStyle w:val="105"/>
                        <w:rPr>
                          <w:rFonts w:ascii="Times New Roman"/>
                          <w:sz w:val="32"/>
                          <w:szCs w:val="32"/>
                        </w:rPr>
                      </w:pPr>
                      <w:r>
                        <w:rPr>
                          <w:rFonts w:hint="eastAsia" w:ascii="Times New Roman"/>
                          <w:sz w:val="32"/>
                          <w:szCs w:val="32"/>
                        </w:rPr>
                        <w:t>（征求意见稿）</w:t>
                      </w: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r>
                        <w:rPr>
                          <w:rFonts w:ascii="Times New Roman"/>
                          <w:sz w:val="32"/>
                          <w:szCs w:val="32"/>
                        </w:rPr>
                        <w:t>武汉市</w:t>
                      </w:r>
                      <w:r>
                        <w:rPr>
                          <w:rFonts w:hint="eastAsia" w:ascii="Times New Roman"/>
                          <w:sz w:val="32"/>
                          <w:szCs w:val="32"/>
                        </w:rPr>
                        <w:t>城乡建设局</w:t>
                      </w:r>
                    </w:p>
                    <w:p>
                      <w:pPr>
                        <w:pStyle w:val="105"/>
                        <w:rPr>
                          <w:rFonts w:ascii="Times New Roman"/>
                          <w:sz w:val="32"/>
                          <w:szCs w:val="32"/>
                        </w:rPr>
                      </w:pPr>
                      <w:r>
                        <w:rPr>
                          <w:rFonts w:hint="eastAsia" w:ascii="Times New Roman"/>
                          <w:sz w:val="32"/>
                          <w:szCs w:val="32"/>
                        </w:rPr>
                        <w:t>2023年XX月</w:t>
                      </w: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p>
                      <w:pPr>
                        <w:pStyle w:val="105"/>
                        <w:rPr>
                          <w:rFonts w:ascii="Times New Roman"/>
                          <w:sz w:val="32"/>
                          <w:szCs w:val="32"/>
                        </w:rPr>
                      </w:pPr>
                    </w:p>
                  </w:txbxContent>
                </v:textbox>
                <w10:wrap type="square"/>
              </v:shape>
            </w:pict>
          </mc:Fallback>
        </mc:AlternateContent>
      </w:r>
    </w:p>
    <w:p>
      <w:pPr>
        <w:widowControl/>
        <w:spacing w:line="300" w:lineRule="auto"/>
        <w:jc w:val="center"/>
        <w:rPr>
          <w:rFonts w:eastAsia="黑体" w:cs="Times New Roman"/>
          <w:color w:val="auto"/>
          <w:spacing w:val="60"/>
          <w:sz w:val="30"/>
          <w:szCs w:val="30"/>
        </w:rPr>
      </w:pPr>
      <w:r>
        <w:rPr>
          <w:rFonts w:eastAsia="黑体" w:cs="Times New Roman"/>
          <w:color w:val="auto"/>
          <w:spacing w:val="60"/>
          <w:sz w:val="30"/>
          <w:szCs w:val="30"/>
        </w:rPr>
        <w:t>目次</w:t>
      </w:r>
    </w:p>
    <w:p>
      <w:pPr>
        <w:pStyle w:val="24"/>
        <w:tabs>
          <w:tab w:val="right" w:leader="dot" w:pos="8296"/>
        </w:tabs>
        <w:spacing w:line="300" w:lineRule="auto"/>
        <w:rPr>
          <w:rFonts w:asciiTheme="minorHAnsi" w:hAnsiTheme="minorHAnsi" w:eastAsiaTheme="minorEastAsia"/>
          <w:color w:val="auto"/>
          <w:sz w:val="28"/>
          <w:szCs w:val="28"/>
        </w:rPr>
      </w:pPr>
      <w:r>
        <w:rPr>
          <w:rFonts w:cs="Times New Roman"/>
          <w:color w:val="auto"/>
          <w:sz w:val="24"/>
          <w:szCs w:val="24"/>
        </w:rPr>
        <w:fldChar w:fldCharType="begin"/>
      </w:r>
      <w:r>
        <w:rPr>
          <w:rFonts w:cs="Times New Roman"/>
          <w:color w:val="auto"/>
          <w:sz w:val="24"/>
          <w:szCs w:val="24"/>
        </w:rPr>
        <w:instrText xml:space="preserve"> TOC \o "1-2" \h \z \u </w:instrText>
      </w:r>
      <w:r>
        <w:rPr>
          <w:rFonts w:cs="Times New Roman"/>
          <w:color w:val="auto"/>
          <w:sz w:val="24"/>
          <w:szCs w:val="24"/>
        </w:rPr>
        <w:fldChar w:fldCharType="separate"/>
      </w:r>
      <w:r>
        <w:rPr>
          <w:color w:val="auto"/>
        </w:rPr>
        <w:fldChar w:fldCharType="begin"/>
      </w:r>
      <w:r>
        <w:rPr>
          <w:color w:val="auto"/>
        </w:rPr>
        <w:instrText xml:space="preserve"> HYPERLINK \l "_Toc147952040" </w:instrText>
      </w:r>
      <w:r>
        <w:rPr>
          <w:color w:val="auto"/>
        </w:rPr>
        <w:fldChar w:fldCharType="separate"/>
      </w:r>
      <w:r>
        <w:rPr>
          <w:rStyle w:val="34"/>
          <w:rFonts w:hint="eastAsia" w:eastAsia="黑体" w:cs="Times New Roman"/>
          <w:color w:val="auto"/>
          <w:sz w:val="28"/>
          <w:szCs w:val="28"/>
        </w:rPr>
        <w:t>前</w:t>
      </w:r>
      <w:r>
        <w:rPr>
          <w:rStyle w:val="34"/>
          <w:rFonts w:eastAsia="黑体" w:cs="Times New Roman"/>
          <w:color w:val="auto"/>
          <w:sz w:val="28"/>
          <w:szCs w:val="28"/>
        </w:rPr>
        <w:t xml:space="preserve">  </w:t>
      </w:r>
      <w:r>
        <w:rPr>
          <w:rStyle w:val="34"/>
          <w:rFonts w:hint="eastAsia" w:eastAsia="黑体" w:cs="Times New Roman"/>
          <w:color w:val="auto"/>
          <w:sz w:val="28"/>
          <w:szCs w:val="28"/>
        </w:rPr>
        <w:t>言</w:t>
      </w:r>
      <w:r>
        <w:rPr>
          <w:color w:val="auto"/>
          <w:sz w:val="28"/>
          <w:szCs w:val="28"/>
        </w:rPr>
        <w:tab/>
      </w:r>
      <w:r>
        <w:rPr>
          <w:color w:val="auto"/>
          <w:sz w:val="28"/>
          <w:szCs w:val="28"/>
        </w:rPr>
        <w:fldChar w:fldCharType="begin"/>
      </w:r>
      <w:r>
        <w:rPr>
          <w:color w:val="auto"/>
          <w:sz w:val="28"/>
          <w:szCs w:val="28"/>
        </w:rPr>
        <w:instrText xml:space="preserve"> PAGEREF _Toc147952040 \h </w:instrText>
      </w:r>
      <w:r>
        <w:rPr>
          <w:color w:val="auto"/>
          <w:sz w:val="28"/>
          <w:szCs w:val="28"/>
        </w:rPr>
        <w:fldChar w:fldCharType="separate"/>
      </w:r>
      <w:r>
        <w:rPr>
          <w:color w:val="auto"/>
          <w:sz w:val="28"/>
          <w:szCs w:val="28"/>
        </w:rPr>
        <w:t>I</w:t>
      </w:r>
      <w:r>
        <w:rPr>
          <w:color w:val="auto"/>
          <w:sz w:val="28"/>
          <w:szCs w:val="28"/>
        </w:rPr>
        <w:fldChar w:fldCharType="end"/>
      </w:r>
      <w:r>
        <w:rPr>
          <w:color w:val="auto"/>
          <w:sz w:val="28"/>
          <w:szCs w:val="28"/>
        </w:rPr>
        <w:fldChar w:fldCharType="end"/>
      </w:r>
    </w:p>
    <w:p>
      <w:pPr>
        <w:pStyle w:val="24"/>
        <w:tabs>
          <w:tab w:val="left" w:pos="42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"_Toc147952042" </w:instrText>
      </w:r>
      <w:r>
        <w:rPr>
          <w:color w:val="auto"/>
        </w:rPr>
        <w:fldChar w:fldCharType="separate"/>
      </w:r>
      <w:r>
        <w:rPr>
          <w:rStyle w:val="34"/>
          <w:rFonts w:cs="Times New Roman"/>
          <w:color w:val="auto"/>
          <w:sz w:val="28"/>
          <w:szCs w:val="28"/>
        </w:rPr>
        <w:t>1</w:t>
      </w:r>
      <w:r>
        <w:rPr>
          <w:rFonts w:asciiTheme="minorHAnsi" w:hAnsiTheme="minorHAnsi" w:eastAsiaTheme="minorEastAsia"/>
          <w:color w:val="auto"/>
          <w:sz w:val="28"/>
          <w:szCs w:val="28"/>
        </w:rPr>
        <w:tab/>
      </w:r>
      <w:r>
        <w:rPr>
          <w:rStyle w:val="34"/>
          <w:rFonts w:hint="eastAsia" w:cs="Times New Roman"/>
          <w:color w:val="auto"/>
          <w:sz w:val="28"/>
          <w:szCs w:val="28"/>
        </w:rPr>
        <w:t>范围</w:t>
      </w:r>
      <w:r>
        <w:rPr>
          <w:color w:val="auto"/>
          <w:sz w:val="28"/>
          <w:szCs w:val="28"/>
        </w:rPr>
        <w:tab/>
      </w:r>
      <w:r>
        <w:rPr>
          <w:color w:val="auto"/>
          <w:sz w:val="28"/>
          <w:szCs w:val="28"/>
        </w:rPr>
        <w:fldChar w:fldCharType="begin"/>
      </w:r>
      <w:r>
        <w:rPr>
          <w:color w:val="auto"/>
          <w:sz w:val="28"/>
          <w:szCs w:val="28"/>
        </w:rPr>
        <w:instrText xml:space="preserve"> PAGEREF _Toc147952042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24"/>
        <w:tabs>
          <w:tab w:val="left" w:pos="42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"_Toc147952043" </w:instrText>
      </w:r>
      <w:r>
        <w:rPr>
          <w:color w:val="auto"/>
        </w:rPr>
        <w:fldChar w:fldCharType="separate"/>
      </w:r>
      <w:r>
        <w:rPr>
          <w:rStyle w:val="34"/>
          <w:rFonts w:cs="Times New Roman"/>
          <w:color w:val="auto"/>
          <w:sz w:val="28"/>
          <w:szCs w:val="28"/>
        </w:rPr>
        <w:t>2</w:t>
      </w:r>
      <w:r>
        <w:rPr>
          <w:rFonts w:asciiTheme="minorHAnsi" w:hAnsiTheme="minorHAnsi" w:eastAsiaTheme="minorEastAsia"/>
          <w:color w:val="auto"/>
          <w:sz w:val="28"/>
          <w:szCs w:val="28"/>
        </w:rPr>
        <w:tab/>
      </w:r>
      <w:r>
        <w:rPr>
          <w:rStyle w:val="34"/>
          <w:rFonts w:hint="eastAsia" w:cs="Times New Roman"/>
          <w:color w:val="auto"/>
          <w:sz w:val="28"/>
          <w:szCs w:val="28"/>
        </w:rPr>
        <w:t>规范性引用文件</w:t>
      </w:r>
      <w:r>
        <w:rPr>
          <w:color w:val="auto"/>
          <w:sz w:val="28"/>
          <w:szCs w:val="28"/>
        </w:rPr>
        <w:tab/>
      </w:r>
      <w:r>
        <w:rPr>
          <w:color w:val="auto"/>
          <w:sz w:val="28"/>
          <w:szCs w:val="28"/>
        </w:rPr>
        <w:fldChar w:fldCharType="begin"/>
      </w:r>
      <w:r>
        <w:rPr>
          <w:color w:val="auto"/>
          <w:sz w:val="28"/>
          <w:szCs w:val="28"/>
        </w:rPr>
        <w:instrText xml:space="preserve"> PAGEREF _Toc147952043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24"/>
        <w:tabs>
          <w:tab w:val="left" w:pos="42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"_Toc147952044" </w:instrText>
      </w:r>
      <w:r>
        <w:rPr>
          <w:color w:val="auto"/>
        </w:rPr>
        <w:fldChar w:fldCharType="separate"/>
      </w:r>
      <w:r>
        <w:rPr>
          <w:rStyle w:val="34"/>
          <w:rFonts w:cs="Times New Roman"/>
          <w:color w:val="auto"/>
          <w:sz w:val="28"/>
          <w:szCs w:val="28"/>
        </w:rPr>
        <w:t>3</w:t>
      </w:r>
      <w:r>
        <w:rPr>
          <w:rFonts w:asciiTheme="minorHAnsi" w:hAnsiTheme="minorHAnsi" w:eastAsiaTheme="minorEastAsia"/>
          <w:color w:val="auto"/>
          <w:sz w:val="28"/>
          <w:szCs w:val="28"/>
        </w:rPr>
        <w:tab/>
      </w:r>
      <w:r>
        <w:rPr>
          <w:rStyle w:val="34"/>
          <w:rFonts w:hint="eastAsia" w:cs="Times New Roman"/>
          <w:color w:val="auto"/>
          <w:sz w:val="28"/>
          <w:szCs w:val="28"/>
        </w:rPr>
        <w:t>术语</w:t>
      </w:r>
      <w:r>
        <w:rPr>
          <w:color w:val="auto"/>
          <w:sz w:val="28"/>
          <w:szCs w:val="28"/>
        </w:rPr>
        <w:tab/>
      </w:r>
      <w:r>
        <w:rPr>
          <w:color w:val="auto"/>
          <w:sz w:val="28"/>
          <w:szCs w:val="28"/>
        </w:rPr>
        <w:fldChar w:fldCharType="begin"/>
      </w:r>
      <w:r>
        <w:rPr>
          <w:color w:val="auto"/>
          <w:sz w:val="28"/>
          <w:szCs w:val="28"/>
        </w:rPr>
        <w:instrText xml:space="preserve"> PAGEREF _Toc147952044 \h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pPr>
        <w:pStyle w:val="24"/>
        <w:tabs>
          <w:tab w:val="left" w:pos="42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"_Toc147952053" </w:instrText>
      </w:r>
      <w:r>
        <w:rPr>
          <w:color w:val="auto"/>
        </w:rPr>
        <w:fldChar w:fldCharType="separate"/>
      </w:r>
      <w:r>
        <w:rPr>
          <w:rStyle w:val="34"/>
          <w:rFonts w:cs="Times New Roman"/>
          <w:color w:val="auto"/>
          <w:sz w:val="28"/>
          <w:szCs w:val="28"/>
        </w:rPr>
        <w:t>4</w:t>
      </w:r>
      <w:r>
        <w:rPr>
          <w:rFonts w:asciiTheme="minorHAnsi" w:hAnsiTheme="minorHAnsi" w:eastAsiaTheme="minorEastAsia"/>
          <w:color w:val="auto"/>
          <w:sz w:val="28"/>
          <w:szCs w:val="28"/>
        </w:rPr>
        <w:tab/>
      </w:r>
      <w:r>
        <w:rPr>
          <w:rStyle w:val="34"/>
          <w:rFonts w:hint="eastAsia" w:cs="Times New Roman"/>
          <w:color w:val="auto"/>
          <w:sz w:val="28"/>
          <w:szCs w:val="28"/>
        </w:rPr>
        <w:t>基本规定</w:t>
      </w:r>
      <w:r>
        <w:rPr>
          <w:color w:val="auto"/>
          <w:sz w:val="28"/>
          <w:szCs w:val="28"/>
        </w:rPr>
        <w:tab/>
      </w:r>
      <w:r>
        <w:rPr>
          <w:color w:val="auto"/>
          <w:sz w:val="28"/>
          <w:szCs w:val="28"/>
        </w:rPr>
        <w:fldChar w:fldCharType="begin"/>
      </w:r>
      <w:r>
        <w:rPr>
          <w:color w:val="auto"/>
          <w:sz w:val="28"/>
          <w:szCs w:val="28"/>
        </w:rPr>
        <w:instrText xml:space="preserve"> PAGEREF _Toc147952053 \h </w:instrText>
      </w:r>
      <w:r>
        <w:rPr>
          <w:color w:val="auto"/>
          <w:sz w:val="28"/>
          <w:szCs w:val="28"/>
        </w:rPr>
        <w:fldChar w:fldCharType="separate"/>
      </w:r>
      <w:r>
        <w:rPr>
          <w:color w:val="auto"/>
          <w:sz w:val="28"/>
          <w:szCs w:val="28"/>
        </w:rPr>
        <w:t>4</w:t>
      </w:r>
      <w:r>
        <w:rPr>
          <w:color w:val="auto"/>
          <w:sz w:val="28"/>
          <w:szCs w:val="28"/>
        </w:rPr>
        <w:fldChar w:fldCharType="end"/>
      </w:r>
      <w:r>
        <w:rPr>
          <w:color w:val="auto"/>
          <w:sz w:val="28"/>
          <w:szCs w:val="28"/>
        </w:rPr>
        <w:fldChar w:fldCharType="end"/>
      </w:r>
    </w:p>
    <w:p>
      <w:pPr>
        <w:pStyle w:val="24"/>
        <w:tabs>
          <w:tab w:val="left" w:pos="42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"_Toc147952063" </w:instrText>
      </w:r>
      <w:r>
        <w:rPr>
          <w:color w:val="auto"/>
        </w:rPr>
        <w:fldChar w:fldCharType="separate"/>
      </w:r>
      <w:r>
        <w:rPr>
          <w:rStyle w:val="34"/>
          <w:rFonts w:cs="Times New Roman"/>
          <w:color w:val="auto"/>
          <w:sz w:val="28"/>
          <w:szCs w:val="28"/>
        </w:rPr>
        <w:t>5</w:t>
      </w:r>
      <w:r>
        <w:rPr>
          <w:rFonts w:asciiTheme="minorHAnsi" w:hAnsiTheme="minorHAnsi" w:eastAsiaTheme="minorEastAsia"/>
          <w:color w:val="auto"/>
          <w:sz w:val="28"/>
          <w:szCs w:val="28"/>
        </w:rPr>
        <w:tab/>
      </w:r>
      <w:r>
        <w:rPr>
          <w:rStyle w:val="34"/>
          <w:rFonts w:hint="eastAsia" w:cs="Times New Roman"/>
          <w:color w:val="auto"/>
          <w:sz w:val="28"/>
          <w:szCs w:val="28"/>
        </w:rPr>
        <w:t>质量验收</w:t>
      </w:r>
      <w:r>
        <w:rPr>
          <w:color w:val="auto"/>
          <w:sz w:val="28"/>
          <w:szCs w:val="28"/>
        </w:rPr>
        <w:tab/>
      </w:r>
      <w:r>
        <w:rPr>
          <w:color w:val="auto"/>
          <w:sz w:val="28"/>
          <w:szCs w:val="28"/>
        </w:rPr>
        <w:fldChar w:fldCharType="begin"/>
      </w:r>
      <w:r>
        <w:rPr>
          <w:color w:val="auto"/>
          <w:sz w:val="28"/>
          <w:szCs w:val="28"/>
        </w:rPr>
        <w:instrText xml:space="preserve"> PAGEREF _Toc147952063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pPr>
        <w:pStyle w:val="27"/>
        <w:tabs>
          <w:tab w:val="left" w:pos="126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"_Toc147952064" </w:instrText>
      </w:r>
      <w:r>
        <w:rPr>
          <w:color w:val="auto"/>
        </w:rPr>
        <w:fldChar w:fldCharType="separate"/>
      </w:r>
      <w:r>
        <w:rPr>
          <w:rStyle w:val="34"/>
          <w:rFonts w:cs="Times New Roman"/>
          <w:color w:val="auto"/>
          <w:sz w:val="28"/>
          <w:szCs w:val="28"/>
        </w:rPr>
        <w:t>5.1</w:t>
      </w:r>
      <w:r>
        <w:rPr>
          <w:rFonts w:asciiTheme="minorHAnsi" w:hAnsiTheme="minorHAnsi" w:eastAsiaTheme="minorEastAsia"/>
          <w:color w:val="auto"/>
          <w:sz w:val="28"/>
          <w:szCs w:val="28"/>
        </w:rPr>
        <w:tab/>
      </w:r>
      <w:r>
        <w:rPr>
          <w:rStyle w:val="34"/>
          <w:rFonts w:hint="eastAsia" w:cs="Times New Roman"/>
          <w:color w:val="auto"/>
          <w:sz w:val="28"/>
          <w:szCs w:val="28"/>
        </w:rPr>
        <w:t>材料</w:t>
      </w:r>
      <w:r>
        <w:rPr>
          <w:color w:val="auto"/>
          <w:sz w:val="28"/>
          <w:szCs w:val="28"/>
        </w:rPr>
        <w:tab/>
      </w:r>
      <w:r>
        <w:rPr>
          <w:color w:val="auto"/>
          <w:sz w:val="28"/>
          <w:szCs w:val="28"/>
        </w:rPr>
        <w:fldChar w:fldCharType="begin"/>
      </w:r>
      <w:r>
        <w:rPr>
          <w:color w:val="auto"/>
          <w:sz w:val="28"/>
          <w:szCs w:val="28"/>
        </w:rPr>
        <w:instrText xml:space="preserve"> PAGEREF _Toc147952064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pPr>
        <w:pStyle w:val="27"/>
        <w:tabs>
          <w:tab w:val="left" w:pos="126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"_Toc147952065" </w:instrText>
      </w:r>
      <w:r>
        <w:rPr>
          <w:color w:val="auto"/>
        </w:rPr>
        <w:fldChar w:fldCharType="separate"/>
      </w:r>
      <w:r>
        <w:rPr>
          <w:rStyle w:val="34"/>
          <w:rFonts w:cs="Times New Roman"/>
          <w:color w:val="auto"/>
          <w:sz w:val="28"/>
          <w:szCs w:val="28"/>
        </w:rPr>
        <w:t>5.2</w:t>
      </w:r>
      <w:r>
        <w:rPr>
          <w:rFonts w:asciiTheme="minorHAnsi" w:hAnsiTheme="minorHAnsi" w:eastAsiaTheme="minorEastAsia"/>
          <w:color w:val="auto"/>
          <w:sz w:val="28"/>
          <w:szCs w:val="28"/>
        </w:rPr>
        <w:tab/>
      </w:r>
      <w:r>
        <w:rPr>
          <w:rStyle w:val="34"/>
          <w:rFonts w:hint="eastAsia" w:cs="Times New Roman"/>
          <w:color w:val="auto"/>
          <w:sz w:val="28"/>
          <w:szCs w:val="28"/>
        </w:rPr>
        <w:t>预制构件</w:t>
      </w:r>
      <w:r>
        <w:rPr>
          <w:color w:val="auto"/>
          <w:sz w:val="28"/>
          <w:szCs w:val="28"/>
        </w:rPr>
        <w:tab/>
      </w:r>
      <w:r>
        <w:rPr>
          <w:color w:val="auto"/>
          <w:sz w:val="28"/>
          <w:szCs w:val="28"/>
        </w:rPr>
        <w:fldChar w:fldCharType="begin"/>
      </w:r>
      <w:r>
        <w:rPr>
          <w:color w:val="auto"/>
          <w:sz w:val="28"/>
          <w:szCs w:val="28"/>
        </w:rPr>
        <w:instrText xml:space="preserve"> PAGEREF _Toc147952065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pPr>
        <w:pStyle w:val="27"/>
        <w:tabs>
          <w:tab w:val="left" w:pos="126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"_Toc147952066" </w:instrText>
      </w:r>
      <w:r>
        <w:rPr>
          <w:color w:val="auto"/>
        </w:rPr>
        <w:fldChar w:fldCharType="separate"/>
      </w:r>
      <w:r>
        <w:rPr>
          <w:rStyle w:val="34"/>
          <w:rFonts w:cs="Times New Roman"/>
          <w:color w:val="auto"/>
          <w:sz w:val="28"/>
          <w:szCs w:val="28"/>
        </w:rPr>
        <w:t>5.3</w:t>
      </w:r>
      <w:r>
        <w:rPr>
          <w:rFonts w:asciiTheme="minorHAnsi" w:hAnsiTheme="minorHAnsi" w:eastAsiaTheme="minorEastAsia"/>
          <w:color w:val="auto"/>
          <w:sz w:val="28"/>
          <w:szCs w:val="28"/>
        </w:rPr>
        <w:tab/>
      </w:r>
      <w:r>
        <w:rPr>
          <w:rStyle w:val="34"/>
          <w:rFonts w:hint="eastAsia" w:cs="Times New Roman"/>
          <w:color w:val="auto"/>
          <w:sz w:val="28"/>
          <w:szCs w:val="28"/>
        </w:rPr>
        <w:t>连接与安装</w:t>
      </w:r>
      <w:r>
        <w:rPr>
          <w:color w:val="auto"/>
          <w:sz w:val="28"/>
          <w:szCs w:val="28"/>
        </w:rPr>
        <w:tab/>
      </w:r>
      <w:r>
        <w:rPr>
          <w:color w:val="auto"/>
          <w:sz w:val="28"/>
          <w:szCs w:val="28"/>
        </w:rPr>
        <w:fldChar w:fldCharType="begin"/>
      </w:r>
      <w:r>
        <w:rPr>
          <w:color w:val="auto"/>
          <w:sz w:val="28"/>
          <w:szCs w:val="28"/>
        </w:rPr>
        <w:instrText xml:space="preserve"> PAGEREF _Toc147952066 \h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pPr>
        <w:pStyle w:val="27"/>
        <w:tabs>
          <w:tab w:val="left" w:pos="126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"_Toc147952067" </w:instrText>
      </w:r>
      <w:r>
        <w:rPr>
          <w:color w:val="auto"/>
        </w:rPr>
        <w:fldChar w:fldCharType="separate"/>
      </w:r>
      <w:r>
        <w:rPr>
          <w:rStyle w:val="34"/>
          <w:rFonts w:cs="Times New Roman"/>
          <w:color w:val="auto"/>
          <w:sz w:val="28"/>
          <w:szCs w:val="28"/>
        </w:rPr>
        <w:t>5.4</w:t>
      </w:r>
      <w:r>
        <w:rPr>
          <w:rFonts w:asciiTheme="minorHAnsi" w:hAnsiTheme="minorHAnsi" w:eastAsiaTheme="minorEastAsia"/>
          <w:color w:val="auto"/>
          <w:sz w:val="28"/>
          <w:szCs w:val="28"/>
        </w:rPr>
        <w:tab/>
      </w:r>
      <w:r>
        <w:rPr>
          <w:rStyle w:val="34"/>
          <w:rFonts w:cs="Times New Roman"/>
          <w:color w:val="auto"/>
          <w:sz w:val="28"/>
          <w:szCs w:val="28"/>
        </w:rPr>
        <w:t>结构实体</w:t>
      </w:r>
      <w:r>
        <w:rPr>
          <w:color w:val="auto"/>
          <w:sz w:val="28"/>
          <w:szCs w:val="28"/>
        </w:rPr>
        <w:tab/>
      </w:r>
      <w:r>
        <w:rPr>
          <w:color w:val="auto"/>
          <w:sz w:val="28"/>
          <w:szCs w:val="28"/>
        </w:rPr>
        <w:fldChar w:fldCharType="begin"/>
      </w:r>
      <w:r>
        <w:rPr>
          <w:color w:val="auto"/>
          <w:sz w:val="28"/>
          <w:szCs w:val="28"/>
        </w:rPr>
        <w:instrText xml:space="preserve"> PAGEREF _Toc147952067 \h </w:instrText>
      </w:r>
      <w:r>
        <w:rPr>
          <w:color w:val="auto"/>
          <w:sz w:val="28"/>
          <w:szCs w:val="28"/>
        </w:rPr>
        <w:fldChar w:fldCharType="separate"/>
      </w:r>
      <w:r>
        <w:rPr>
          <w:color w:val="auto"/>
          <w:sz w:val="28"/>
          <w:szCs w:val="28"/>
        </w:rPr>
        <w:t>14</w:t>
      </w:r>
      <w:r>
        <w:rPr>
          <w:color w:val="auto"/>
          <w:sz w:val="28"/>
          <w:szCs w:val="28"/>
        </w:rPr>
        <w:fldChar w:fldCharType="end"/>
      </w:r>
      <w:r>
        <w:rPr>
          <w:color w:val="auto"/>
          <w:sz w:val="28"/>
          <w:szCs w:val="28"/>
        </w:rPr>
        <w:fldChar w:fldCharType="end"/>
      </w:r>
    </w:p>
    <w:p>
      <w:pPr>
        <w:pStyle w:val="24"/>
        <w:tabs>
          <w:tab w:val="left" w:pos="42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"_Toc147952068" </w:instrText>
      </w:r>
      <w:r>
        <w:rPr>
          <w:color w:val="auto"/>
        </w:rPr>
        <w:fldChar w:fldCharType="separate"/>
      </w:r>
      <w:r>
        <w:rPr>
          <w:rStyle w:val="34"/>
          <w:rFonts w:cs="Times New Roman"/>
          <w:color w:val="auto"/>
          <w:sz w:val="28"/>
          <w:szCs w:val="28"/>
        </w:rPr>
        <w:t>6</w:t>
      </w:r>
      <w:r>
        <w:rPr>
          <w:rFonts w:asciiTheme="minorHAnsi" w:hAnsiTheme="minorHAnsi" w:eastAsiaTheme="minorEastAsia"/>
          <w:color w:val="auto"/>
          <w:sz w:val="28"/>
          <w:szCs w:val="28"/>
        </w:rPr>
        <w:tab/>
      </w:r>
      <w:r>
        <w:rPr>
          <w:rStyle w:val="34"/>
          <w:rFonts w:hint="eastAsia" w:cs="Times New Roman"/>
          <w:color w:val="auto"/>
          <w:sz w:val="28"/>
          <w:szCs w:val="28"/>
        </w:rPr>
        <w:t>装配率验收</w:t>
      </w:r>
      <w:r>
        <w:rPr>
          <w:color w:val="auto"/>
          <w:sz w:val="28"/>
          <w:szCs w:val="28"/>
        </w:rPr>
        <w:tab/>
      </w:r>
      <w:r>
        <w:rPr>
          <w:color w:val="auto"/>
          <w:sz w:val="28"/>
          <w:szCs w:val="28"/>
        </w:rPr>
        <w:fldChar w:fldCharType="begin"/>
      </w:r>
      <w:r>
        <w:rPr>
          <w:color w:val="auto"/>
          <w:sz w:val="28"/>
          <w:szCs w:val="28"/>
        </w:rPr>
        <w:instrText xml:space="preserve"> PAGEREF _Toc147952068 \h </w:instrText>
      </w:r>
      <w:r>
        <w:rPr>
          <w:color w:val="auto"/>
          <w:sz w:val="28"/>
          <w:szCs w:val="28"/>
        </w:rPr>
        <w:fldChar w:fldCharType="separate"/>
      </w:r>
      <w:r>
        <w:rPr>
          <w:color w:val="auto"/>
          <w:sz w:val="28"/>
          <w:szCs w:val="28"/>
        </w:rPr>
        <w:t>15</w:t>
      </w:r>
      <w:r>
        <w:rPr>
          <w:color w:val="auto"/>
          <w:sz w:val="28"/>
          <w:szCs w:val="28"/>
        </w:rPr>
        <w:fldChar w:fldCharType="end"/>
      </w:r>
      <w:r>
        <w:rPr>
          <w:color w:val="auto"/>
          <w:sz w:val="28"/>
          <w:szCs w:val="28"/>
        </w:rPr>
        <w:fldChar w:fldCharType="end"/>
      </w:r>
    </w:p>
    <w:p>
      <w:pPr>
        <w:pStyle w:val="27"/>
        <w:tabs>
          <w:tab w:val="left" w:pos="126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"_Toc147952069" </w:instrText>
      </w:r>
      <w:r>
        <w:rPr>
          <w:color w:val="auto"/>
        </w:rPr>
        <w:fldChar w:fldCharType="separate"/>
      </w:r>
      <w:r>
        <w:rPr>
          <w:rStyle w:val="34"/>
          <w:rFonts w:cs="Times New Roman"/>
          <w:color w:val="auto"/>
          <w:sz w:val="28"/>
          <w:szCs w:val="28"/>
        </w:rPr>
        <w:t>6.1</w:t>
      </w:r>
      <w:r>
        <w:rPr>
          <w:rFonts w:asciiTheme="minorHAnsi" w:hAnsiTheme="minorHAnsi" w:eastAsiaTheme="minorEastAsia"/>
          <w:color w:val="auto"/>
          <w:sz w:val="28"/>
          <w:szCs w:val="28"/>
        </w:rPr>
        <w:tab/>
      </w:r>
      <w:r>
        <w:rPr>
          <w:rStyle w:val="34"/>
          <w:rFonts w:hint="eastAsia" w:cs="Times New Roman"/>
          <w:color w:val="auto"/>
          <w:sz w:val="28"/>
          <w:szCs w:val="28"/>
        </w:rPr>
        <w:t>一般规定</w:t>
      </w:r>
      <w:r>
        <w:rPr>
          <w:color w:val="auto"/>
          <w:sz w:val="28"/>
          <w:szCs w:val="28"/>
        </w:rPr>
        <w:tab/>
      </w:r>
      <w:r>
        <w:rPr>
          <w:color w:val="auto"/>
          <w:sz w:val="28"/>
          <w:szCs w:val="28"/>
        </w:rPr>
        <w:fldChar w:fldCharType="begin"/>
      </w:r>
      <w:r>
        <w:rPr>
          <w:color w:val="auto"/>
          <w:sz w:val="28"/>
          <w:szCs w:val="28"/>
        </w:rPr>
        <w:instrText xml:space="preserve"> PAGEREF _Toc147952069 \h </w:instrText>
      </w:r>
      <w:r>
        <w:rPr>
          <w:color w:val="auto"/>
          <w:sz w:val="28"/>
          <w:szCs w:val="28"/>
        </w:rPr>
        <w:fldChar w:fldCharType="separate"/>
      </w:r>
      <w:r>
        <w:rPr>
          <w:color w:val="auto"/>
          <w:sz w:val="28"/>
          <w:szCs w:val="28"/>
        </w:rPr>
        <w:t>15</w:t>
      </w:r>
      <w:r>
        <w:rPr>
          <w:color w:val="auto"/>
          <w:sz w:val="28"/>
          <w:szCs w:val="28"/>
        </w:rPr>
        <w:fldChar w:fldCharType="end"/>
      </w:r>
      <w:r>
        <w:rPr>
          <w:color w:val="auto"/>
          <w:sz w:val="28"/>
          <w:szCs w:val="28"/>
        </w:rPr>
        <w:fldChar w:fldCharType="end"/>
      </w:r>
    </w:p>
    <w:p>
      <w:pPr>
        <w:pStyle w:val="27"/>
        <w:tabs>
          <w:tab w:val="left" w:pos="1260"/>
          <w:tab w:val="right" w:leader="dot" w:pos="8296"/>
        </w:tabs>
        <w:spacing w:line="300" w:lineRule="auto"/>
        <w:rPr>
          <w:rFonts w:asciiTheme="minorHAnsi" w:hAnsiTheme="minorHAnsi" w:eastAsiaTheme="minorEastAsia"/>
          <w:color w:val="auto"/>
          <w:sz w:val="28"/>
          <w:szCs w:val="28"/>
        </w:rPr>
      </w:pPr>
      <w:r>
        <w:rPr>
          <w:color w:val="auto"/>
        </w:rPr>
        <w:fldChar w:fldCharType="begin"/>
      </w:r>
      <w:r>
        <w:rPr>
          <w:color w:val="auto"/>
        </w:rPr>
        <w:instrText xml:space="preserve"> HYPERLINK \l "_Toc147952070" </w:instrText>
      </w:r>
      <w:r>
        <w:rPr>
          <w:color w:val="auto"/>
        </w:rPr>
        <w:fldChar w:fldCharType="separate"/>
      </w:r>
      <w:r>
        <w:rPr>
          <w:rStyle w:val="34"/>
          <w:rFonts w:cs="Times New Roman"/>
          <w:color w:val="auto"/>
          <w:sz w:val="28"/>
          <w:szCs w:val="28"/>
        </w:rPr>
        <w:t>6.2</w:t>
      </w:r>
      <w:r>
        <w:rPr>
          <w:rFonts w:asciiTheme="minorHAnsi" w:hAnsiTheme="minorHAnsi" w:eastAsiaTheme="minorEastAsia"/>
          <w:color w:val="auto"/>
          <w:sz w:val="28"/>
          <w:szCs w:val="28"/>
        </w:rPr>
        <w:tab/>
      </w:r>
      <w:r>
        <w:rPr>
          <w:rStyle w:val="34"/>
          <w:rFonts w:hint="eastAsia" w:cs="Times New Roman"/>
          <w:color w:val="auto"/>
          <w:sz w:val="28"/>
          <w:szCs w:val="28"/>
        </w:rPr>
        <w:t>装配率验收</w:t>
      </w:r>
      <w:r>
        <w:rPr>
          <w:color w:val="auto"/>
          <w:sz w:val="28"/>
          <w:szCs w:val="28"/>
        </w:rPr>
        <w:tab/>
      </w:r>
      <w:r>
        <w:rPr>
          <w:color w:val="auto"/>
          <w:sz w:val="28"/>
          <w:szCs w:val="28"/>
        </w:rPr>
        <w:fldChar w:fldCharType="begin"/>
      </w:r>
      <w:r>
        <w:rPr>
          <w:color w:val="auto"/>
          <w:sz w:val="28"/>
          <w:szCs w:val="28"/>
        </w:rPr>
        <w:instrText xml:space="preserve"> PAGEREF _Toc147952070 \h </w:instrText>
      </w:r>
      <w:r>
        <w:rPr>
          <w:color w:val="auto"/>
          <w:sz w:val="28"/>
          <w:szCs w:val="28"/>
        </w:rPr>
        <w:fldChar w:fldCharType="separate"/>
      </w:r>
      <w:r>
        <w:rPr>
          <w:color w:val="auto"/>
          <w:sz w:val="28"/>
          <w:szCs w:val="28"/>
        </w:rPr>
        <w:t>16</w:t>
      </w:r>
      <w:r>
        <w:rPr>
          <w:color w:val="auto"/>
          <w:sz w:val="28"/>
          <w:szCs w:val="28"/>
        </w:rPr>
        <w:fldChar w:fldCharType="end"/>
      </w:r>
      <w:r>
        <w:rPr>
          <w:color w:val="auto"/>
          <w:sz w:val="28"/>
          <w:szCs w:val="28"/>
        </w:rPr>
        <w:fldChar w:fldCharType="end"/>
      </w:r>
    </w:p>
    <w:p>
      <w:pPr>
        <w:pStyle w:val="27"/>
        <w:tabs>
          <w:tab w:val="right" w:leader="dot" w:pos="8296"/>
        </w:tabs>
        <w:spacing w:line="300" w:lineRule="auto"/>
        <w:ind w:left="0" w:leftChars="0"/>
        <w:rPr>
          <w:rFonts w:asciiTheme="minorHAnsi" w:hAnsiTheme="minorHAnsi" w:eastAsiaTheme="minorEastAsia"/>
          <w:color w:val="auto"/>
          <w:sz w:val="28"/>
          <w:szCs w:val="28"/>
        </w:rPr>
      </w:pPr>
      <w:r>
        <w:rPr>
          <w:color w:val="auto"/>
        </w:rPr>
        <w:fldChar w:fldCharType="begin"/>
      </w:r>
      <w:r>
        <w:rPr>
          <w:color w:val="auto"/>
        </w:rPr>
        <w:instrText xml:space="preserve"> HYPERLINK \l "_Toc147952072" </w:instrText>
      </w:r>
      <w:r>
        <w:rPr>
          <w:color w:val="auto"/>
        </w:rPr>
        <w:fldChar w:fldCharType="separate"/>
      </w:r>
      <w:r>
        <w:rPr>
          <w:rStyle w:val="34"/>
          <w:rFonts w:hint="eastAsia" w:cs="Times New Roman"/>
          <w:color w:val="auto"/>
          <w:sz w:val="28"/>
          <w:szCs w:val="28"/>
        </w:rPr>
        <w:t>附录</w:t>
      </w:r>
      <w:r>
        <w:rPr>
          <w:rStyle w:val="34"/>
          <w:rFonts w:cs="Times New Roman"/>
          <w:color w:val="auto"/>
          <w:sz w:val="28"/>
          <w:szCs w:val="28"/>
        </w:rPr>
        <w:t>A</w:t>
      </w:r>
      <w:r>
        <w:rPr>
          <w:rStyle w:val="34"/>
          <w:rFonts w:hint="eastAsia" w:cs="Times New Roman"/>
          <w:color w:val="auto"/>
          <w:sz w:val="28"/>
          <w:szCs w:val="28"/>
        </w:rPr>
        <w:t>（资料性） 质量验收记录表</w:t>
      </w:r>
      <w:r>
        <w:rPr>
          <w:color w:val="auto"/>
          <w:sz w:val="28"/>
          <w:szCs w:val="28"/>
        </w:rPr>
        <w:tab/>
      </w:r>
      <w:r>
        <w:rPr>
          <w:color w:val="auto"/>
          <w:sz w:val="28"/>
          <w:szCs w:val="28"/>
        </w:rPr>
        <w:fldChar w:fldCharType="begin"/>
      </w:r>
      <w:r>
        <w:rPr>
          <w:color w:val="auto"/>
          <w:sz w:val="28"/>
          <w:szCs w:val="28"/>
        </w:rPr>
        <w:instrText xml:space="preserve"> PAGEREF _Toc147952072 \h </w:instrText>
      </w:r>
      <w:r>
        <w:rPr>
          <w:color w:val="auto"/>
          <w:sz w:val="28"/>
          <w:szCs w:val="28"/>
        </w:rPr>
        <w:fldChar w:fldCharType="separate"/>
      </w:r>
      <w:r>
        <w:rPr>
          <w:color w:val="auto"/>
          <w:sz w:val="28"/>
          <w:szCs w:val="28"/>
        </w:rPr>
        <w:t>23</w:t>
      </w:r>
      <w:r>
        <w:rPr>
          <w:color w:val="auto"/>
          <w:sz w:val="28"/>
          <w:szCs w:val="28"/>
        </w:rPr>
        <w:fldChar w:fldCharType="end"/>
      </w:r>
      <w:r>
        <w:rPr>
          <w:color w:val="auto"/>
          <w:sz w:val="28"/>
          <w:szCs w:val="28"/>
        </w:rPr>
        <w:fldChar w:fldCharType="end"/>
      </w:r>
    </w:p>
    <w:p>
      <w:pPr>
        <w:pStyle w:val="27"/>
        <w:tabs>
          <w:tab w:val="right" w:leader="dot" w:pos="8296"/>
        </w:tabs>
        <w:spacing w:line="300" w:lineRule="auto"/>
        <w:ind w:left="0" w:leftChars="0"/>
        <w:rPr>
          <w:rFonts w:asciiTheme="minorHAnsi" w:hAnsiTheme="minorHAnsi" w:eastAsiaTheme="minorEastAsia"/>
          <w:color w:val="auto"/>
          <w:sz w:val="28"/>
          <w:szCs w:val="28"/>
        </w:rPr>
      </w:pPr>
      <w:r>
        <w:rPr>
          <w:color w:val="auto"/>
        </w:rPr>
        <w:fldChar w:fldCharType="begin"/>
      </w:r>
      <w:r>
        <w:rPr>
          <w:color w:val="auto"/>
        </w:rPr>
        <w:instrText xml:space="preserve"> HYPERLINK \l "_Toc147952073" </w:instrText>
      </w:r>
      <w:r>
        <w:rPr>
          <w:color w:val="auto"/>
        </w:rPr>
        <w:fldChar w:fldCharType="separate"/>
      </w:r>
      <w:r>
        <w:rPr>
          <w:rStyle w:val="34"/>
          <w:rFonts w:hint="eastAsia" w:cs="Times New Roman"/>
          <w:color w:val="auto"/>
          <w:sz w:val="28"/>
          <w:szCs w:val="28"/>
        </w:rPr>
        <w:t>附录</w:t>
      </w:r>
      <w:r>
        <w:rPr>
          <w:rStyle w:val="34"/>
          <w:rFonts w:cs="Times New Roman"/>
          <w:color w:val="auto"/>
          <w:sz w:val="28"/>
          <w:szCs w:val="28"/>
        </w:rPr>
        <w:t>B</w:t>
      </w:r>
      <w:r>
        <w:rPr>
          <w:rStyle w:val="34"/>
          <w:rFonts w:hint="eastAsia" w:cs="Times New Roman"/>
          <w:color w:val="auto"/>
          <w:sz w:val="28"/>
          <w:szCs w:val="28"/>
        </w:rPr>
        <w:t>（资料性）</w:t>
      </w:r>
      <w:r>
        <w:rPr>
          <w:rStyle w:val="34"/>
          <w:rFonts w:cs="Times New Roman"/>
          <w:color w:val="auto"/>
          <w:sz w:val="28"/>
          <w:szCs w:val="28"/>
        </w:rPr>
        <w:t xml:space="preserve"> </w:t>
      </w:r>
      <w:r>
        <w:rPr>
          <w:rStyle w:val="34"/>
          <w:rFonts w:hint="eastAsia" w:cs="Times New Roman"/>
          <w:color w:val="auto"/>
          <w:sz w:val="28"/>
          <w:szCs w:val="28"/>
        </w:rPr>
        <w:t>现场材料进场复验</w:t>
      </w:r>
      <w:r>
        <w:rPr>
          <w:color w:val="auto"/>
          <w:sz w:val="28"/>
          <w:szCs w:val="28"/>
        </w:rPr>
        <w:tab/>
      </w:r>
      <w:r>
        <w:rPr>
          <w:color w:val="auto"/>
          <w:sz w:val="28"/>
          <w:szCs w:val="28"/>
        </w:rPr>
        <w:fldChar w:fldCharType="begin"/>
      </w:r>
      <w:r>
        <w:rPr>
          <w:color w:val="auto"/>
          <w:sz w:val="28"/>
          <w:szCs w:val="28"/>
        </w:rPr>
        <w:instrText xml:space="preserve"> PAGEREF _Toc147952073 \h </w:instrText>
      </w:r>
      <w:r>
        <w:rPr>
          <w:color w:val="auto"/>
          <w:sz w:val="28"/>
          <w:szCs w:val="28"/>
        </w:rPr>
        <w:fldChar w:fldCharType="separate"/>
      </w:r>
      <w:r>
        <w:rPr>
          <w:color w:val="auto"/>
          <w:sz w:val="28"/>
          <w:szCs w:val="28"/>
        </w:rPr>
        <w:t>34</w:t>
      </w:r>
      <w:r>
        <w:rPr>
          <w:color w:val="auto"/>
          <w:sz w:val="28"/>
          <w:szCs w:val="28"/>
        </w:rPr>
        <w:fldChar w:fldCharType="end"/>
      </w:r>
      <w:r>
        <w:rPr>
          <w:color w:val="auto"/>
          <w:sz w:val="28"/>
          <w:szCs w:val="28"/>
        </w:rPr>
        <w:fldChar w:fldCharType="end"/>
      </w:r>
    </w:p>
    <w:p>
      <w:pPr>
        <w:pStyle w:val="27"/>
        <w:tabs>
          <w:tab w:val="right" w:leader="dot" w:pos="8296"/>
        </w:tabs>
        <w:spacing w:line="300" w:lineRule="auto"/>
        <w:ind w:left="0" w:leftChars="0"/>
        <w:rPr>
          <w:rFonts w:asciiTheme="minorHAnsi" w:hAnsiTheme="minorHAnsi" w:eastAsiaTheme="minorEastAsia"/>
          <w:color w:val="auto"/>
          <w:sz w:val="28"/>
          <w:szCs w:val="28"/>
        </w:rPr>
      </w:pPr>
      <w:r>
        <w:rPr>
          <w:color w:val="auto"/>
        </w:rPr>
        <w:fldChar w:fldCharType="begin"/>
      </w:r>
      <w:r>
        <w:rPr>
          <w:color w:val="auto"/>
        </w:rPr>
        <w:instrText xml:space="preserve"> HYPERLINK \l "_Toc147952074" </w:instrText>
      </w:r>
      <w:r>
        <w:rPr>
          <w:color w:val="auto"/>
        </w:rPr>
        <w:fldChar w:fldCharType="separate"/>
      </w:r>
      <w:r>
        <w:rPr>
          <w:rStyle w:val="34"/>
          <w:rFonts w:hint="eastAsia" w:cs="Times New Roman"/>
          <w:color w:val="auto"/>
          <w:sz w:val="28"/>
          <w:szCs w:val="28"/>
        </w:rPr>
        <w:t>附录</w:t>
      </w:r>
      <w:r>
        <w:rPr>
          <w:rStyle w:val="34"/>
          <w:rFonts w:cs="Times New Roman"/>
          <w:color w:val="auto"/>
          <w:sz w:val="28"/>
          <w:szCs w:val="28"/>
        </w:rPr>
        <w:t>C</w:t>
      </w:r>
      <w:r>
        <w:rPr>
          <w:rStyle w:val="34"/>
          <w:rFonts w:hint="eastAsia" w:cs="Times New Roman"/>
          <w:color w:val="auto"/>
          <w:sz w:val="28"/>
          <w:szCs w:val="28"/>
        </w:rPr>
        <w:t>（资料性）</w:t>
      </w:r>
      <w:r>
        <w:rPr>
          <w:rStyle w:val="34"/>
          <w:rFonts w:cs="Times New Roman"/>
          <w:color w:val="auto"/>
          <w:sz w:val="28"/>
          <w:szCs w:val="28"/>
        </w:rPr>
        <w:t xml:space="preserve"> </w:t>
      </w:r>
      <w:r>
        <w:rPr>
          <w:rStyle w:val="34"/>
          <w:rFonts w:hint="eastAsia" w:cs="Times New Roman"/>
          <w:color w:val="auto"/>
          <w:sz w:val="28"/>
          <w:szCs w:val="28"/>
        </w:rPr>
        <w:t>预制构件检验</w:t>
      </w:r>
      <w:r>
        <w:rPr>
          <w:color w:val="auto"/>
          <w:sz w:val="28"/>
          <w:szCs w:val="28"/>
        </w:rPr>
        <w:tab/>
      </w:r>
      <w:r>
        <w:rPr>
          <w:color w:val="auto"/>
          <w:sz w:val="28"/>
          <w:szCs w:val="28"/>
        </w:rPr>
        <w:fldChar w:fldCharType="begin"/>
      </w:r>
      <w:r>
        <w:rPr>
          <w:color w:val="auto"/>
          <w:sz w:val="28"/>
          <w:szCs w:val="28"/>
        </w:rPr>
        <w:instrText xml:space="preserve"> PAGEREF _Toc147952074 \h </w:instrText>
      </w:r>
      <w:r>
        <w:rPr>
          <w:color w:val="auto"/>
          <w:sz w:val="28"/>
          <w:szCs w:val="28"/>
        </w:rPr>
        <w:fldChar w:fldCharType="separate"/>
      </w:r>
      <w:r>
        <w:rPr>
          <w:color w:val="auto"/>
          <w:sz w:val="28"/>
          <w:szCs w:val="28"/>
        </w:rPr>
        <w:t>37</w:t>
      </w:r>
      <w:r>
        <w:rPr>
          <w:color w:val="auto"/>
          <w:sz w:val="28"/>
          <w:szCs w:val="28"/>
        </w:rPr>
        <w:fldChar w:fldCharType="end"/>
      </w:r>
      <w:r>
        <w:rPr>
          <w:color w:val="auto"/>
          <w:sz w:val="28"/>
          <w:szCs w:val="28"/>
        </w:rPr>
        <w:fldChar w:fldCharType="end"/>
      </w:r>
    </w:p>
    <w:p>
      <w:pPr>
        <w:pStyle w:val="27"/>
        <w:tabs>
          <w:tab w:val="right" w:leader="dot" w:pos="8296"/>
        </w:tabs>
        <w:spacing w:line="300" w:lineRule="auto"/>
        <w:ind w:left="0" w:leftChars="0"/>
        <w:rPr>
          <w:rFonts w:asciiTheme="minorHAnsi" w:hAnsiTheme="minorHAnsi" w:eastAsiaTheme="minorEastAsia"/>
          <w:color w:val="auto"/>
        </w:rPr>
      </w:pPr>
      <w:r>
        <w:rPr>
          <w:color w:val="auto"/>
        </w:rPr>
        <w:fldChar w:fldCharType="begin"/>
      </w:r>
      <w:r>
        <w:rPr>
          <w:color w:val="auto"/>
        </w:rPr>
        <w:instrText xml:space="preserve"> HYPERLINK \l "_Toc147952075" </w:instrText>
      </w:r>
      <w:r>
        <w:rPr>
          <w:color w:val="auto"/>
        </w:rPr>
        <w:fldChar w:fldCharType="separate"/>
      </w:r>
      <w:r>
        <w:rPr>
          <w:rStyle w:val="34"/>
          <w:rFonts w:hint="eastAsia" w:cs="Times New Roman"/>
          <w:color w:val="auto"/>
          <w:sz w:val="28"/>
          <w:szCs w:val="28"/>
        </w:rPr>
        <w:t>附录</w:t>
      </w:r>
      <w:r>
        <w:rPr>
          <w:rStyle w:val="34"/>
          <w:rFonts w:cs="Times New Roman"/>
          <w:color w:val="auto"/>
          <w:sz w:val="28"/>
          <w:szCs w:val="28"/>
        </w:rPr>
        <w:t>D</w:t>
      </w:r>
      <w:r>
        <w:rPr>
          <w:rStyle w:val="34"/>
          <w:rFonts w:hint="eastAsia" w:cs="Times New Roman"/>
          <w:color w:val="auto"/>
          <w:sz w:val="28"/>
          <w:szCs w:val="28"/>
        </w:rPr>
        <w:t>（资料性）</w:t>
      </w:r>
      <w:r>
        <w:rPr>
          <w:rStyle w:val="34"/>
          <w:rFonts w:cs="Times New Roman"/>
          <w:color w:val="auto"/>
          <w:sz w:val="28"/>
          <w:szCs w:val="28"/>
        </w:rPr>
        <w:t xml:space="preserve"> </w:t>
      </w:r>
      <w:r>
        <w:rPr>
          <w:rStyle w:val="34"/>
          <w:rFonts w:hint="eastAsia" w:cs="Times New Roman"/>
          <w:color w:val="auto"/>
          <w:sz w:val="28"/>
          <w:szCs w:val="28"/>
        </w:rPr>
        <w:t>装配式混凝土结构连接节点现场检测</w:t>
      </w:r>
      <w:r>
        <w:rPr>
          <w:color w:val="auto"/>
          <w:sz w:val="28"/>
          <w:szCs w:val="28"/>
        </w:rPr>
        <w:tab/>
      </w:r>
      <w:r>
        <w:rPr>
          <w:color w:val="auto"/>
          <w:sz w:val="28"/>
          <w:szCs w:val="28"/>
        </w:rPr>
        <w:fldChar w:fldCharType="begin"/>
      </w:r>
      <w:r>
        <w:rPr>
          <w:color w:val="auto"/>
          <w:sz w:val="28"/>
          <w:szCs w:val="28"/>
        </w:rPr>
        <w:instrText xml:space="preserve"> PAGEREF _Toc147952075 \h </w:instrText>
      </w:r>
      <w:r>
        <w:rPr>
          <w:color w:val="auto"/>
          <w:sz w:val="28"/>
          <w:szCs w:val="28"/>
        </w:rPr>
        <w:fldChar w:fldCharType="separate"/>
      </w:r>
      <w:r>
        <w:rPr>
          <w:color w:val="auto"/>
          <w:sz w:val="28"/>
          <w:szCs w:val="28"/>
        </w:rPr>
        <w:t>40</w:t>
      </w:r>
      <w:r>
        <w:rPr>
          <w:color w:val="auto"/>
          <w:sz w:val="28"/>
          <w:szCs w:val="28"/>
        </w:rPr>
        <w:fldChar w:fldCharType="end"/>
      </w:r>
      <w:r>
        <w:rPr>
          <w:color w:val="auto"/>
          <w:sz w:val="28"/>
          <w:szCs w:val="28"/>
        </w:rPr>
        <w:fldChar w:fldCharType="end"/>
      </w:r>
    </w:p>
    <w:p>
      <w:pPr>
        <w:pStyle w:val="116"/>
        <w:spacing w:line="300" w:lineRule="auto"/>
        <w:rPr>
          <w:rFonts w:ascii="Times New Roman" w:hAnsi="Times New Roman" w:eastAsia="黑体" w:cs="Times New Roman"/>
          <w:color w:val="auto"/>
          <w:sz w:val="32"/>
          <w:szCs w:val="32"/>
        </w:rPr>
        <w:sectPr>
          <w:headerReference r:id="rId3" w:type="default"/>
          <w:headerReference r:id="rId4" w:type="even"/>
          <w:pgSz w:w="11906" w:h="16838"/>
          <w:pgMar w:top="1440" w:right="1800" w:bottom="1440" w:left="1800" w:header="851" w:footer="992" w:gutter="0"/>
          <w:cols w:space="425" w:num="1"/>
          <w:docGrid w:type="lines" w:linePitch="312" w:charSpace="0"/>
        </w:sectPr>
      </w:pPr>
      <w:r>
        <w:rPr>
          <w:rFonts w:ascii="Times New Roman" w:hAnsi="Times New Roman" w:cs="Times New Roman"/>
          <w:color w:val="auto"/>
          <w:sz w:val="24"/>
          <w:szCs w:val="24"/>
        </w:rPr>
        <w:fldChar w:fldCharType="end"/>
      </w:r>
    </w:p>
    <w:p>
      <w:pPr>
        <w:spacing w:line="300" w:lineRule="auto"/>
        <w:jc w:val="center"/>
        <w:outlineLvl w:val="0"/>
        <w:rPr>
          <w:rFonts w:eastAsia="黑体" w:cs="Times New Roman"/>
          <w:color w:val="auto"/>
          <w:sz w:val="32"/>
          <w:szCs w:val="32"/>
        </w:rPr>
      </w:pPr>
      <w:bookmarkStart w:id="0" w:name="_Toc147952040"/>
      <w:bookmarkStart w:id="1" w:name="_Toc99695911"/>
      <w:bookmarkStart w:id="2" w:name="_Toc99695627"/>
      <w:r>
        <w:rPr>
          <w:rFonts w:eastAsia="黑体" w:cs="Times New Roman"/>
          <w:color w:val="auto"/>
          <w:sz w:val="32"/>
          <w:szCs w:val="32"/>
        </w:rPr>
        <w:t>前  言</w:t>
      </w:r>
      <w:bookmarkEnd w:id="0"/>
      <w:bookmarkEnd w:id="1"/>
      <w:bookmarkEnd w:id="2"/>
    </w:p>
    <w:p>
      <w:pPr>
        <w:spacing w:line="300" w:lineRule="auto"/>
        <w:ind w:firstLine="416"/>
        <w:jc w:val="left"/>
        <w:rPr>
          <w:rFonts w:cs="Times New Roman"/>
          <w:color w:val="auto"/>
        </w:rPr>
      </w:pPr>
    </w:p>
    <w:p>
      <w:pPr>
        <w:spacing w:line="300" w:lineRule="auto"/>
        <w:ind w:firstLine="416"/>
        <w:jc w:val="left"/>
        <w:rPr>
          <w:rFonts w:cs="Times New Roman"/>
          <w:color w:val="auto"/>
        </w:rPr>
      </w:pPr>
      <w:r>
        <w:rPr>
          <w:rFonts w:cs="Times New Roman"/>
          <w:color w:val="auto"/>
        </w:rPr>
        <w:t>本指南依据GB/T 1.1-2020《标准化工作导则  第一部分：标准化文件的结构和起草规则》给出的规则起草。</w:t>
      </w:r>
    </w:p>
    <w:p>
      <w:pPr>
        <w:spacing w:line="300" w:lineRule="auto"/>
        <w:ind w:firstLine="416"/>
        <w:jc w:val="left"/>
        <w:rPr>
          <w:rFonts w:cs="Times New Roman"/>
          <w:color w:val="auto"/>
        </w:rPr>
      </w:pPr>
      <w:r>
        <w:rPr>
          <w:rFonts w:cs="Times New Roman"/>
          <w:color w:val="auto"/>
        </w:rPr>
        <w:t>本指南</w:t>
      </w:r>
      <w:r>
        <w:rPr>
          <w:rFonts w:hint="eastAsia" w:cs="Times New Roman"/>
          <w:color w:val="auto"/>
        </w:rPr>
        <w:t>主要内容：1.范围；2.规范性引用文件；3.术语；4.基本规定；5.质量验收；6.装配率验收。</w:t>
      </w:r>
    </w:p>
    <w:p>
      <w:pPr>
        <w:spacing w:line="300" w:lineRule="auto"/>
        <w:ind w:firstLine="416"/>
        <w:jc w:val="left"/>
        <w:rPr>
          <w:rFonts w:cs="Times New Roman"/>
          <w:color w:val="auto"/>
        </w:rPr>
      </w:pPr>
      <w:r>
        <w:rPr>
          <w:rFonts w:cs="Times New Roman"/>
          <w:color w:val="auto"/>
          <w:lang w:eastAsia="zh-TW"/>
        </w:rPr>
        <w:t>本指南</w:t>
      </w:r>
      <w:r>
        <w:rPr>
          <w:rFonts w:hint="eastAsia" w:cs="Times New Roman"/>
          <w:color w:val="auto"/>
        </w:rPr>
        <w:t>由武汉市城乡建设局负责管理，由主编单位负责具体内容的解释。</w:t>
      </w:r>
      <w:r>
        <w:rPr>
          <w:rFonts w:cs="Times New Roman"/>
          <w:color w:val="auto"/>
        </w:rPr>
        <w:t>执行过程中如有意见和建议</w:t>
      </w:r>
      <w:r>
        <w:rPr>
          <w:rFonts w:hint="eastAsia" w:cs="Times New Roman"/>
          <w:color w:val="auto"/>
        </w:rPr>
        <w:t>，</w:t>
      </w:r>
      <w:r>
        <w:rPr>
          <w:rFonts w:cs="Times New Roman"/>
          <w:color w:val="auto"/>
        </w:rPr>
        <w:t>请邮寄湖北省建筑科学研究设计院股份有限公司（地址：湖北省武汉市武昌区中南路16号，邮编：430074）。</w:t>
      </w:r>
    </w:p>
    <w:p>
      <w:pPr>
        <w:autoSpaceDE w:val="0"/>
        <w:autoSpaceDN w:val="0"/>
        <w:adjustRightInd w:val="0"/>
        <w:snapToGrid w:val="0"/>
        <w:spacing w:line="300" w:lineRule="auto"/>
        <w:ind w:firstLine="411" w:firstLineChars="196"/>
        <w:rPr>
          <w:rFonts w:cs="Times New Roman"/>
          <w:color w:val="auto"/>
          <w:kern w:val="0"/>
        </w:rPr>
      </w:pPr>
      <w:r>
        <w:rPr>
          <w:rFonts w:cs="Times New Roman"/>
          <w:color w:val="auto"/>
          <w:kern w:val="0"/>
        </w:rPr>
        <w:t>本指南主编单位：</w:t>
      </w:r>
      <w:bookmarkStart w:id="3" w:name="_Hlk98578892"/>
      <w:r>
        <w:rPr>
          <w:rFonts w:hint="eastAsia" w:cs="Times New Roman"/>
          <w:color w:val="auto"/>
          <w:kern w:val="0"/>
        </w:rPr>
        <w:t>武汉市建筑节能办公室</w:t>
      </w:r>
    </w:p>
    <w:p>
      <w:pPr>
        <w:autoSpaceDE w:val="0"/>
        <w:autoSpaceDN w:val="0"/>
        <w:adjustRightInd w:val="0"/>
        <w:snapToGrid w:val="0"/>
        <w:spacing w:line="300" w:lineRule="auto"/>
        <w:ind w:firstLine="2091" w:firstLineChars="996"/>
        <w:rPr>
          <w:rFonts w:cs="Times New Roman"/>
          <w:color w:val="auto"/>
          <w:kern w:val="0"/>
        </w:rPr>
      </w:pPr>
      <w:r>
        <w:rPr>
          <w:rFonts w:cs="Times New Roman"/>
          <w:color w:val="auto"/>
          <w:kern w:val="0"/>
        </w:rPr>
        <w:t>湖北省建筑科学研究设计院股份有限公司</w:t>
      </w:r>
    </w:p>
    <w:p>
      <w:pPr>
        <w:autoSpaceDE w:val="0"/>
        <w:autoSpaceDN w:val="0"/>
        <w:adjustRightInd w:val="0"/>
        <w:snapToGrid w:val="0"/>
        <w:spacing w:line="300" w:lineRule="auto"/>
        <w:ind w:firstLine="420" w:firstLineChars="200"/>
        <w:rPr>
          <w:rFonts w:cs="Times New Roman"/>
          <w:color w:val="auto"/>
          <w:kern w:val="0"/>
        </w:rPr>
      </w:pPr>
      <w:r>
        <w:rPr>
          <w:rFonts w:cs="Times New Roman"/>
          <w:color w:val="auto"/>
          <w:kern w:val="0"/>
        </w:rPr>
        <w:t>本指南参编单位：</w:t>
      </w:r>
      <w:bookmarkEnd w:id="3"/>
      <w:r>
        <w:rPr>
          <w:rFonts w:cs="Times New Roman"/>
          <w:color w:val="auto"/>
          <w:kern w:val="0"/>
        </w:rPr>
        <w:t>武汉市建筑工程质量监督站</w:t>
      </w:r>
    </w:p>
    <w:p>
      <w:pPr>
        <w:autoSpaceDE w:val="0"/>
        <w:autoSpaceDN w:val="0"/>
        <w:adjustRightInd w:val="0"/>
        <w:snapToGrid w:val="0"/>
        <w:spacing w:line="300" w:lineRule="auto"/>
        <w:ind w:firstLine="2100" w:firstLineChars="1000"/>
        <w:rPr>
          <w:rFonts w:cs="Times New Roman"/>
          <w:color w:val="auto"/>
          <w:kern w:val="0"/>
        </w:rPr>
      </w:pPr>
      <w:r>
        <w:rPr>
          <w:rFonts w:cs="Times New Roman"/>
          <w:color w:val="auto"/>
          <w:kern w:val="0"/>
        </w:rPr>
        <w:t>武汉市汉阳区建筑管理站</w:t>
      </w:r>
    </w:p>
    <w:p>
      <w:pPr>
        <w:autoSpaceDE w:val="0"/>
        <w:autoSpaceDN w:val="0"/>
        <w:adjustRightInd w:val="0"/>
        <w:snapToGrid w:val="0"/>
        <w:spacing w:line="300" w:lineRule="auto"/>
        <w:ind w:firstLine="2100" w:firstLineChars="1000"/>
        <w:rPr>
          <w:rFonts w:cs="Times New Roman"/>
          <w:color w:val="auto"/>
          <w:kern w:val="0"/>
        </w:rPr>
      </w:pPr>
      <w:r>
        <w:rPr>
          <w:rFonts w:cs="Times New Roman"/>
          <w:color w:val="auto"/>
          <w:kern w:val="0"/>
        </w:rPr>
        <w:t>中南建筑设计院股份有限公司</w:t>
      </w:r>
    </w:p>
    <w:p>
      <w:pPr>
        <w:autoSpaceDE w:val="0"/>
        <w:autoSpaceDN w:val="0"/>
        <w:adjustRightInd w:val="0"/>
        <w:snapToGrid w:val="0"/>
        <w:spacing w:line="300" w:lineRule="auto"/>
        <w:ind w:firstLine="2100" w:firstLineChars="1000"/>
        <w:rPr>
          <w:rFonts w:cs="Times New Roman"/>
          <w:color w:val="auto"/>
          <w:kern w:val="0"/>
        </w:rPr>
      </w:pPr>
      <w:r>
        <w:rPr>
          <w:rFonts w:hint="eastAsia" w:cs="Times New Roman"/>
          <w:color w:val="auto"/>
          <w:kern w:val="0"/>
        </w:rPr>
        <w:t>湖北省建筑工程质量监督检验测试中心有限公司</w:t>
      </w:r>
    </w:p>
    <w:p>
      <w:pPr>
        <w:autoSpaceDE w:val="0"/>
        <w:autoSpaceDN w:val="0"/>
        <w:adjustRightInd w:val="0"/>
        <w:snapToGrid w:val="0"/>
        <w:spacing w:line="300" w:lineRule="auto"/>
        <w:ind w:firstLine="2100" w:firstLineChars="1000"/>
        <w:rPr>
          <w:rFonts w:cs="Times New Roman"/>
          <w:color w:val="auto"/>
          <w:kern w:val="0"/>
        </w:rPr>
      </w:pPr>
      <w:r>
        <w:rPr>
          <w:rFonts w:cs="Times New Roman"/>
          <w:color w:val="auto"/>
          <w:kern w:val="0"/>
        </w:rPr>
        <w:t>武汉市武昌区建筑管理站</w:t>
      </w:r>
    </w:p>
    <w:p>
      <w:pPr>
        <w:autoSpaceDE w:val="0"/>
        <w:autoSpaceDN w:val="0"/>
        <w:adjustRightInd w:val="0"/>
        <w:snapToGrid w:val="0"/>
        <w:spacing w:line="300" w:lineRule="auto"/>
        <w:ind w:firstLine="2100" w:firstLineChars="1000"/>
        <w:rPr>
          <w:rFonts w:cs="Times New Roman"/>
          <w:color w:val="auto"/>
          <w:kern w:val="0"/>
        </w:rPr>
      </w:pPr>
      <w:r>
        <w:rPr>
          <w:rFonts w:hint="eastAsia" w:cs="Times New Roman"/>
          <w:color w:val="auto"/>
          <w:kern w:val="0"/>
        </w:rPr>
        <w:t>中建三局科创产业发展有限公司</w:t>
      </w:r>
    </w:p>
    <w:p>
      <w:pPr>
        <w:autoSpaceDE w:val="0"/>
        <w:autoSpaceDN w:val="0"/>
        <w:adjustRightInd w:val="0"/>
        <w:snapToGrid w:val="0"/>
        <w:spacing w:line="300" w:lineRule="auto"/>
        <w:ind w:firstLine="2100" w:firstLineChars="1000"/>
        <w:rPr>
          <w:rFonts w:cs="Times New Roman"/>
          <w:color w:val="auto"/>
          <w:kern w:val="0"/>
        </w:rPr>
      </w:pPr>
      <w:r>
        <w:rPr>
          <w:rFonts w:cs="Times New Roman"/>
          <w:color w:val="auto"/>
          <w:kern w:val="0"/>
        </w:rPr>
        <w:t>湖北中流建设有限公司</w:t>
      </w:r>
    </w:p>
    <w:p>
      <w:pPr>
        <w:autoSpaceDE w:val="0"/>
        <w:autoSpaceDN w:val="0"/>
        <w:adjustRightInd w:val="0"/>
        <w:snapToGrid w:val="0"/>
        <w:spacing w:line="300" w:lineRule="auto"/>
        <w:ind w:firstLine="2100" w:firstLineChars="1000"/>
        <w:rPr>
          <w:rFonts w:cs="Times New Roman"/>
          <w:color w:val="auto"/>
          <w:kern w:val="0"/>
        </w:rPr>
      </w:pPr>
      <w:r>
        <w:rPr>
          <w:rFonts w:cs="Times New Roman"/>
          <w:color w:val="auto"/>
          <w:kern w:val="0"/>
        </w:rPr>
        <w:t>美好置业集团股份有限公司</w:t>
      </w:r>
    </w:p>
    <w:p>
      <w:pPr>
        <w:autoSpaceDE w:val="0"/>
        <w:autoSpaceDN w:val="0"/>
        <w:adjustRightInd w:val="0"/>
        <w:snapToGrid w:val="0"/>
        <w:spacing w:line="300" w:lineRule="auto"/>
        <w:ind w:firstLine="420" w:firstLineChars="200"/>
        <w:jc w:val="left"/>
        <w:rPr>
          <w:rFonts w:cs="Times New Roman"/>
          <w:color w:val="auto"/>
          <w:kern w:val="0"/>
        </w:rPr>
      </w:pPr>
      <w:r>
        <w:rPr>
          <w:rFonts w:cs="Times New Roman"/>
          <w:color w:val="auto"/>
          <w:kern w:val="0"/>
        </w:rPr>
        <w:t xml:space="preserve">本指南主要起草人： </w:t>
      </w:r>
    </w:p>
    <w:p>
      <w:pPr>
        <w:autoSpaceDE w:val="0"/>
        <w:autoSpaceDN w:val="0"/>
        <w:adjustRightInd w:val="0"/>
        <w:snapToGrid w:val="0"/>
        <w:spacing w:line="300" w:lineRule="auto"/>
        <w:ind w:firstLine="420" w:firstLineChars="200"/>
        <w:jc w:val="left"/>
        <w:rPr>
          <w:rFonts w:cs="Times New Roman"/>
          <w:color w:val="auto"/>
          <w:kern w:val="0"/>
        </w:rPr>
      </w:pPr>
      <w:r>
        <w:rPr>
          <w:rFonts w:cs="Times New Roman"/>
          <w:color w:val="auto"/>
          <w:kern w:val="0"/>
        </w:rPr>
        <w:t>本指南主要审查人：</w:t>
      </w:r>
    </w:p>
    <w:p>
      <w:pPr>
        <w:spacing w:line="300" w:lineRule="auto"/>
        <w:ind w:firstLine="640"/>
        <w:jc w:val="center"/>
        <w:rPr>
          <w:rFonts w:eastAsia="黑体" w:cs="Times New Roman"/>
          <w:color w:val="auto"/>
          <w:sz w:val="32"/>
          <w:szCs w:val="32"/>
        </w:rPr>
      </w:pPr>
    </w:p>
    <w:p>
      <w:pPr>
        <w:spacing w:line="300" w:lineRule="auto"/>
        <w:ind w:firstLine="640"/>
        <w:jc w:val="center"/>
        <w:rPr>
          <w:rFonts w:eastAsia="黑体" w:cs="Times New Roman"/>
          <w:color w:val="auto"/>
          <w:sz w:val="32"/>
          <w:szCs w:val="32"/>
        </w:rPr>
        <w:sectPr>
          <w:headerReference r:id="rId5" w:type="default"/>
          <w:footerReference r:id="rId7" w:type="default"/>
          <w:headerReference r:id="rId6" w:type="even"/>
          <w:pgSz w:w="11906" w:h="16838"/>
          <w:pgMar w:top="1440" w:right="1800" w:bottom="1440" w:left="1800" w:header="851" w:footer="992" w:gutter="0"/>
          <w:pgNumType w:fmt="upperRoman" w:start="1"/>
          <w:cols w:space="425" w:num="1"/>
          <w:docGrid w:type="lines" w:linePitch="312" w:charSpace="0"/>
        </w:sectPr>
      </w:pPr>
    </w:p>
    <w:p>
      <w:pPr>
        <w:pStyle w:val="105"/>
        <w:framePr w:w="0" w:hRule="auto" w:wrap="auto" w:vAnchor="margin" w:hAnchor="text" w:xAlign="left" w:yAlign="inline"/>
        <w:spacing w:line="300" w:lineRule="auto"/>
        <w:rPr>
          <w:rFonts w:ascii="Times New Roman"/>
          <w:color w:val="auto"/>
          <w:sz w:val="44"/>
          <w:szCs w:val="44"/>
        </w:rPr>
      </w:pPr>
      <w:bookmarkStart w:id="4" w:name="_Hlk72331436"/>
      <w:bookmarkStart w:id="5" w:name="_Toc99695913"/>
      <w:bookmarkStart w:id="6" w:name="_Toc99695629"/>
      <w:r>
        <w:rPr>
          <w:rFonts w:ascii="Times New Roman"/>
          <w:color w:val="auto"/>
          <w:sz w:val="44"/>
          <w:szCs w:val="44"/>
        </w:rPr>
        <w:t>武汉市装配式混凝土结构质量验收指南</w:t>
      </w:r>
    </w:p>
    <w:bookmarkEnd w:id="4"/>
    <w:bookmarkEnd w:id="5"/>
    <w:bookmarkEnd w:id="6"/>
    <w:p>
      <w:pPr>
        <w:pStyle w:val="3"/>
        <w:spacing w:before="312" w:after="312" w:line="300" w:lineRule="auto"/>
        <w:rPr>
          <w:rFonts w:cs="Times New Roman"/>
          <w:color w:val="auto"/>
          <w:sz w:val="24"/>
          <w:szCs w:val="24"/>
        </w:rPr>
      </w:pPr>
      <w:bookmarkStart w:id="7" w:name="_Toc147952042"/>
      <w:bookmarkStart w:id="8" w:name="_Toc113869328"/>
      <w:r>
        <w:rPr>
          <w:rFonts w:cs="Times New Roman"/>
          <w:color w:val="auto"/>
          <w:sz w:val="24"/>
          <w:szCs w:val="24"/>
        </w:rPr>
        <w:t>范围</w:t>
      </w:r>
      <w:bookmarkEnd w:id="7"/>
      <w:bookmarkEnd w:id="8"/>
    </w:p>
    <w:p>
      <w:pPr>
        <w:spacing w:line="300" w:lineRule="auto"/>
        <w:ind w:firstLine="480" w:firstLineChars="200"/>
        <w:rPr>
          <w:rFonts w:cs="Times New Roman"/>
          <w:color w:val="auto"/>
          <w:sz w:val="24"/>
          <w:szCs w:val="24"/>
        </w:rPr>
      </w:pPr>
      <w:r>
        <w:rPr>
          <w:rFonts w:cs="Times New Roman"/>
          <w:color w:val="auto"/>
          <w:sz w:val="24"/>
          <w:szCs w:val="24"/>
        </w:rPr>
        <w:t>本</w:t>
      </w:r>
      <w:r>
        <w:rPr>
          <w:rFonts w:hint="eastAsia" w:cs="Times New Roman"/>
          <w:color w:val="auto"/>
          <w:sz w:val="24"/>
          <w:szCs w:val="24"/>
        </w:rPr>
        <w:t>指南</w:t>
      </w:r>
      <w:r>
        <w:rPr>
          <w:rFonts w:cs="Times New Roman"/>
          <w:color w:val="auto"/>
          <w:sz w:val="24"/>
          <w:szCs w:val="24"/>
        </w:rPr>
        <w:t>规定了装配式混凝土结构质量验收的术语、基本规定</w:t>
      </w:r>
      <w:r>
        <w:rPr>
          <w:rFonts w:hint="eastAsia" w:cs="Times New Roman"/>
          <w:color w:val="auto"/>
          <w:sz w:val="24"/>
          <w:szCs w:val="24"/>
        </w:rPr>
        <w:t>、</w:t>
      </w:r>
      <w:r>
        <w:rPr>
          <w:rFonts w:cs="Times New Roman"/>
          <w:color w:val="auto"/>
          <w:sz w:val="24"/>
          <w:szCs w:val="24"/>
        </w:rPr>
        <w:t>质量验收和装配率验收。</w:t>
      </w:r>
    </w:p>
    <w:p>
      <w:pPr>
        <w:spacing w:line="300" w:lineRule="auto"/>
        <w:ind w:firstLine="480" w:firstLineChars="200"/>
        <w:rPr>
          <w:rFonts w:cs="Times New Roman"/>
          <w:color w:val="auto"/>
          <w:sz w:val="24"/>
          <w:szCs w:val="24"/>
        </w:rPr>
      </w:pPr>
      <w:r>
        <w:rPr>
          <w:rFonts w:hint="eastAsia" w:cs="Times New Roman"/>
          <w:color w:val="auto"/>
          <w:sz w:val="24"/>
          <w:szCs w:val="24"/>
        </w:rPr>
        <w:t>为了加强装配式混凝土结构的过程管理和质量控制，规范施工质量控制与验收标准，保证工程质量，制定本指南。</w:t>
      </w:r>
      <w:r>
        <w:rPr>
          <w:rFonts w:cs="Times New Roman"/>
          <w:color w:val="auto"/>
          <w:sz w:val="24"/>
          <w:szCs w:val="24"/>
        </w:rPr>
        <w:t>本</w:t>
      </w:r>
      <w:r>
        <w:rPr>
          <w:rFonts w:hint="eastAsia" w:cs="Times New Roman"/>
          <w:color w:val="auto"/>
          <w:sz w:val="24"/>
          <w:szCs w:val="24"/>
        </w:rPr>
        <w:t>指南</w:t>
      </w:r>
      <w:r>
        <w:rPr>
          <w:rFonts w:cs="Times New Roman"/>
          <w:color w:val="auto"/>
          <w:sz w:val="24"/>
          <w:szCs w:val="24"/>
        </w:rPr>
        <w:t>适用于武汉市装配式混凝土结构质量验收。</w:t>
      </w:r>
    </w:p>
    <w:p>
      <w:pPr>
        <w:pStyle w:val="3"/>
        <w:spacing w:before="312" w:after="312" w:line="300" w:lineRule="auto"/>
        <w:rPr>
          <w:rFonts w:cs="Times New Roman"/>
          <w:color w:val="auto"/>
          <w:sz w:val="24"/>
          <w:szCs w:val="24"/>
        </w:rPr>
      </w:pPr>
      <w:bookmarkStart w:id="9" w:name="_Toc113869329"/>
      <w:bookmarkStart w:id="10" w:name="_Toc147952043"/>
      <w:r>
        <w:rPr>
          <w:rFonts w:cs="Times New Roman"/>
          <w:color w:val="auto"/>
          <w:sz w:val="24"/>
          <w:szCs w:val="24"/>
        </w:rPr>
        <w:t>规范性引用文件</w:t>
      </w:r>
      <w:bookmarkEnd w:id="9"/>
      <w:bookmarkEnd w:id="10"/>
    </w:p>
    <w:p>
      <w:pPr>
        <w:spacing w:line="300" w:lineRule="auto"/>
        <w:ind w:firstLine="420"/>
        <w:rPr>
          <w:rFonts w:cs="Times New Roman"/>
          <w:color w:val="auto"/>
          <w:sz w:val="24"/>
          <w:szCs w:val="24"/>
        </w:rPr>
      </w:pPr>
      <w:r>
        <w:rPr>
          <w:rFonts w:cs="Times New Roman"/>
          <w:color w:val="auto"/>
          <w:sz w:val="24"/>
          <w:szCs w:val="24"/>
        </w:rPr>
        <w:t>下列文件对于本指南的应用是必不可少的。凡是注日期的引用文件，仅注日期的版本适用于本指南。凡是不注日期的引用文件，其最新版本(包括所有的修改单）适用于本指南。</w:t>
      </w:r>
    </w:p>
    <w:p>
      <w:pPr>
        <w:spacing w:line="300" w:lineRule="auto"/>
        <w:ind w:firstLine="420"/>
        <w:rPr>
          <w:rFonts w:cs="Times New Roman"/>
          <w:color w:val="auto"/>
          <w:sz w:val="24"/>
          <w:szCs w:val="24"/>
        </w:rPr>
      </w:pPr>
      <w:r>
        <w:rPr>
          <w:rFonts w:hint="eastAsia" w:cs="Times New Roman"/>
          <w:color w:val="auto"/>
          <w:sz w:val="24"/>
          <w:szCs w:val="24"/>
        </w:rPr>
        <w:t>GB/T 2680建筑玻璃 可见光透射比、太阳光直接透射比、太阳能总透射比、紫外线透射比及有关窗玻璃参数的测定</w:t>
      </w:r>
    </w:p>
    <w:p>
      <w:pPr>
        <w:spacing w:line="300" w:lineRule="auto"/>
        <w:ind w:firstLine="420"/>
        <w:rPr>
          <w:rFonts w:cs="Times New Roman"/>
          <w:color w:val="auto"/>
          <w:sz w:val="24"/>
          <w:szCs w:val="24"/>
        </w:rPr>
      </w:pPr>
      <w:r>
        <w:rPr>
          <w:rFonts w:hint="eastAsia" w:cs="Times New Roman"/>
          <w:color w:val="auto"/>
          <w:sz w:val="24"/>
          <w:szCs w:val="24"/>
        </w:rPr>
        <w:t>GB/T 7106建筑外门窗气密、水密、抗风压性能检测方法</w:t>
      </w:r>
    </w:p>
    <w:p>
      <w:pPr>
        <w:spacing w:line="300" w:lineRule="auto"/>
        <w:ind w:firstLine="420"/>
        <w:rPr>
          <w:rFonts w:cs="Times New Roman"/>
          <w:color w:val="auto"/>
          <w:sz w:val="24"/>
          <w:szCs w:val="24"/>
        </w:rPr>
      </w:pPr>
      <w:r>
        <w:rPr>
          <w:rFonts w:hint="eastAsia" w:cs="Times New Roman"/>
          <w:color w:val="auto"/>
          <w:sz w:val="24"/>
          <w:szCs w:val="24"/>
        </w:rPr>
        <w:t>GB/T 8077 混凝土外加剂匀质性试验方法</w:t>
      </w:r>
    </w:p>
    <w:p>
      <w:pPr>
        <w:spacing w:line="300" w:lineRule="auto"/>
        <w:ind w:firstLine="420"/>
        <w:rPr>
          <w:rFonts w:cs="Times New Roman"/>
          <w:color w:val="auto"/>
          <w:sz w:val="24"/>
          <w:szCs w:val="24"/>
        </w:rPr>
      </w:pPr>
      <w:r>
        <w:rPr>
          <w:rFonts w:hint="eastAsia" w:cs="Times New Roman"/>
          <w:color w:val="auto"/>
          <w:sz w:val="24"/>
          <w:szCs w:val="24"/>
        </w:rPr>
        <w:t>GB/T 8484建筑外门窗保温性能检测方法</w:t>
      </w:r>
    </w:p>
    <w:p>
      <w:pPr>
        <w:spacing w:line="300" w:lineRule="auto"/>
        <w:ind w:firstLine="420"/>
        <w:rPr>
          <w:rFonts w:cs="Times New Roman"/>
          <w:color w:val="auto"/>
          <w:sz w:val="24"/>
          <w:szCs w:val="24"/>
        </w:rPr>
      </w:pPr>
      <w:r>
        <w:rPr>
          <w:rFonts w:hint="eastAsia" w:cs="Times New Roman"/>
          <w:color w:val="auto"/>
          <w:sz w:val="24"/>
          <w:szCs w:val="24"/>
        </w:rPr>
        <w:t>GB 8624 建筑材料及制品燃烧性能分级</w:t>
      </w:r>
    </w:p>
    <w:p>
      <w:pPr>
        <w:spacing w:line="300" w:lineRule="auto"/>
        <w:ind w:firstLine="420"/>
        <w:rPr>
          <w:rFonts w:cs="Times New Roman"/>
          <w:color w:val="auto"/>
          <w:sz w:val="24"/>
          <w:szCs w:val="24"/>
        </w:rPr>
      </w:pPr>
      <w:r>
        <w:rPr>
          <w:rFonts w:hint="eastAsia" w:cs="Times New Roman"/>
          <w:color w:val="auto"/>
          <w:sz w:val="24"/>
          <w:szCs w:val="24"/>
        </w:rPr>
        <w:t>GB/T 10801.2绝热用挤塑聚苯乙烯泡沫塑料(XPS)</w:t>
      </w:r>
    </w:p>
    <w:p>
      <w:pPr>
        <w:spacing w:line="300" w:lineRule="auto"/>
        <w:ind w:firstLine="420"/>
        <w:rPr>
          <w:rFonts w:cs="Times New Roman"/>
          <w:color w:val="auto"/>
          <w:sz w:val="24"/>
          <w:szCs w:val="24"/>
        </w:rPr>
      </w:pPr>
      <w:r>
        <w:rPr>
          <w:rFonts w:hint="eastAsia" w:cs="Times New Roman"/>
          <w:color w:val="auto"/>
          <w:sz w:val="24"/>
          <w:szCs w:val="24"/>
        </w:rPr>
        <w:t>GB/T 14683 硅酮和改性硅酮建筑密封胶</w:t>
      </w:r>
    </w:p>
    <w:p>
      <w:pPr>
        <w:spacing w:line="300" w:lineRule="auto"/>
        <w:ind w:firstLine="420"/>
        <w:rPr>
          <w:rFonts w:cs="Times New Roman"/>
          <w:color w:val="auto"/>
          <w:sz w:val="24"/>
          <w:szCs w:val="24"/>
        </w:rPr>
      </w:pPr>
      <w:r>
        <w:rPr>
          <w:rFonts w:hint="eastAsia" w:cs="Times New Roman"/>
          <w:color w:val="auto"/>
          <w:sz w:val="24"/>
          <w:szCs w:val="24"/>
        </w:rPr>
        <w:t>GB/T 17671水泥胶砂强度检验方法(ISO法)</w:t>
      </w:r>
    </w:p>
    <w:p>
      <w:pPr>
        <w:spacing w:line="300" w:lineRule="auto"/>
        <w:ind w:firstLine="420"/>
        <w:rPr>
          <w:rFonts w:cs="Times New Roman"/>
          <w:color w:val="auto"/>
          <w:sz w:val="24"/>
          <w:szCs w:val="24"/>
        </w:rPr>
      </w:pPr>
      <w:r>
        <w:rPr>
          <w:rFonts w:cs="Times New Roman"/>
          <w:color w:val="auto"/>
          <w:sz w:val="24"/>
          <w:szCs w:val="24"/>
        </w:rPr>
        <w:t>GB/T 20041.1</w:t>
      </w:r>
      <w:r>
        <w:rPr>
          <w:rFonts w:hint="eastAsia" w:cs="Times New Roman"/>
          <w:color w:val="auto"/>
          <w:sz w:val="24"/>
          <w:szCs w:val="24"/>
        </w:rPr>
        <w:t>电缆管理用导管系统 第1部分：通用要求</w:t>
      </w:r>
    </w:p>
    <w:p>
      <w:pPr>
        <w:spacing w:line="300" w:lineRule="auto"/>
        <w:ind w:firstLine="420"/>
        <w:rPr>
          <w:rFonts w:cs="Times New Roman"/>
          <w:color w:val="auto"/>
          <w:sz w:val="24"/>
          <w:szCs w:val="24"/>
        </w:rPr>
      </w:pPr>
      <w:r>
        <w:rPr>
          <w:rFonts w:hint="eastAsia" w:cs="Times New Roman"/>
          <w:color w:val="auto"/>
          <w:sz w:val="24"/>
          <w:szCs w:val="24"/>
        </w:rPr>
        <w:t>GB 50017 钢结构设计标准</w:t>
      </w:r>
    </w:p>
    <w:p>
      <w:pPr>
        <w:spacing w:line="300" w:lineRule="auto"/>
        <w:ind w:firstLine="420"/>
        <w:rPr>
          <w:rFonts w:cs="Times New Roman"/>
          <w:color w:val="auto"/>
          <w:sz w:val="24"/>
          <w:szCs w:val="24"/>
        </w:rPr>
      </w:pPr>
      <w:r>
        <w:rPr>
          <w:rFonts w:hint="eastAsia" w:cs="Times New Roman"/>
          <w:color w:val="auto"/>
          <w:sz w:val="24"/>
          <w:szCs w:val="24"/>
        </w:rPr>
        <w:t>GB/T 50080普通混凝土拌合物性能试验方法标准</w:t>
      </w:r>
    </w:p>
    <w:p>
      <w:pPr>
        <w:spacing w:line="300" w:lineRule="auto"/>
        <w:ind w:firstLine="420"/>
        <w:rPr>
          <w:rFonts w:cs="Times New Roman"/>
          <w:color w:val="auto"/>
          <w:sz w:val="24"/>
          <w:szCs w:val="24"/>
        </w:rPr>
      </w:pPr>
      <w:r>
        <w:rPr>
          <w:rFonts w:cs="Times New Roman"/>
          <w:color w:val="auto"/>
          <w:sz w:val="24"/>
          <w:szCs w:val="24"/>
        </w:rPr>
        <w:t>GB/T 50107 混凝土强度检验评定标准</w:t>
      </w:r>
    </w:p>
    <w:p>
      <w:pPr>
        <w:spacing w:line="300" w:lineRule="auto"/>
        <w:ind w:firstLine="420"/>
        <w:rPr>
          <w:rFonts w:cs="Times New Roman"/>
          <w:color w:val="auto"/>
          <w:sz w:val="24"/>
          <w:szCs w:val="24"/>
        </w:rPr>
      </w:pPr>
      <w:r>
        <w:rPr>
          <w:rFonts w:cs="Times New Roman"/>
          <w:color w:val="auto"/>
          <w:sz w:val="24"/>
          <w:szCs w:val="24"/>
        </w:rPr>
        <w:t>GB 50204 混凝土结构工程施工质量验收规范</w:t>
      </w:r>
    </w:p>
    <w:p>
      <w:pPr>
        <w:spacing w:line="300" w:lineRule="auto"/>
        <w:ind w:firstLine="420"/>
        <w:rPr>
          <w:rFonts w:cs="Times New Roman"/>
          <w:color w:val="auto"/>
          <w:sz w:val="24"/>
          <w:szCs w:val="24"/>
        </w:rPr>
      </w:pPr>
      <w:r>
        <w:rPr>
          <w:rFonts w:cs="Times New Roman"/>
          <w:color w:val="auto"/>
          <w:sz w:val="24"/>
          <w:szCs w:val="24"/>
        </w:rPr>
        <w:t>GB 50205 钢结构工程施工质量验收标准</w:t>
      </w:r>
    </w:p>
    <w:p>
      <w:pPr>
        <w:spacing w:line="300" w:lineRule="auto"/>
        <w:ind w:firstLine="420"/>
        <w:rPr>
          <w:rFonts w:cs="Times New Roman"/>
          <w:color w:val="auto"/>
          <w:sz w:val="24"/>
          <w:szCs w:val="24"/>
        </w:rPr>
      </w:pPr>
      <w:r>
        <w:rPr>
          <w:rFonts w:hint="eastAsia" w:cs="Times New Roman"/>
          <w:color w:val="auto"/>
          <w:sz w:val="24"/>
          <w:szCs w:val="24"/>
        </w:rPr>
        <w:t xml:space="preserve">GB 50210 </w:t>
      </w:r>
      <w:r>
        <w:rPr>
          <w:rFonts w:cs="Times New Roman"/>
          <w:color w:val="auto"/>
          <w:sz w:val="24"/>
          <w:szCs w:val="24"/>
        </w:rPr>
        <w:t>建筑装饰装修工程质量验收标准</w:t>
      </w:r>
    </w:p>
    <w:p>
      <w:pPr>
        <w:spacing w:line="300" w:lineRule="auto"/>
        <w:ind w:firstLine="420"/>
        <w:rPr>
          <w:rFonts w:cs="Times New Roman"/>
          <w:color w:val="auto"/>
          <w:sz w:val="24"/>
          <w:szCs w:val="24"/>
        </w:rPr>
      </w:pPr>
      <w:r>
        <w:rPr>
          <w:rFonts w:cs="Times New Roman"/>
          <w:color w:val="auto"/>
          <w:sz w:val="24"/>
          <w:szCs w:val="24"/>
        </w:rPr>
        <w:t>GB 50300建筑工程施工质量验收统一标准</w:t>
      </w:r>
    </w:p>
    <w:p>
      <w:pPr>
        <w:spacing w:line="300" w:lineRule="auto"/>
        <w:ind w:firstLine="420"/>
        <w:rPr>
          <w:rFonts w:cs="Times New Roman"/>
          <w:color w:val="auto"/>
          <w:sz w:val="24"/>
          <w:szCs w:val="24"/>
        </w:rPr>
      </w:pPr>
      <w:r>
        <w:rPr>
          <w:rFonts w:hint="eastAsia" w:cs="Times New Roman"/>
          <w:color w:val="auto"/>
          <w:sz w:val="24"/>
          <w:szCs w:val="24"/>
        </w:rPr>
        <w:t>GB 50411建筑节能工程施工质量验收标准</w:t>
      </w:r>
    </w:p>
    <w:p>
      <w:pPr>
        <w:spacing w:line="300" w:lineRule="auto"/>
        <w:ind w:firstLine="420"/>
        <w:rPr>
          <w:rFonts w:cs="Times New Roman"/>
          <w:color w:val="auto"/>
          <w:sz w:val="24"/>
          <w:szCs w:val="24"/>
        </w:rPr>
      </w:pPr>
      <w:r>
        <w:rPr>
          <w:rFonts w:hint="eastAsia" w:cs="Times New Roman"/>
          <w:color w:val="auto"/>
          <w:sz w:val="24"/>
          <w:szCs w:val="24"/>
        </w:rPr>
        <w:t>GB/T 50448水泥基灌浆材料应用技术规范</w:t>
      </w:r>
    </w:p>
    <w:p>
      <w:pPr>
        <w:spacing w:line="300" w:lineRule="auto"/>
        <w:ind w:firstLine="420"/>
        <w:rPr>
          <w:rFonts w:cs="Times New Roman"/>
          <w:color w:val="auto"/>
          <w:sz w:val="24"/>
          <w:szCs w:val="24"/>
        </w:rPr>
      </w:pPr>
      <w:r>
        <w:rPr>
          <w:rFonts w:hint="eastAsia" w:cs="Times New Roman"/>
          <w:color w:val="auto"/>
          <w:sz w:val="24"/>
          <w:szCs w:val="24"/>
        </w:rPr>
        <w:t>GB 50661 钢结构焊接规范</w:t>
      </w:r>
    </w:p>
    <w:p>
      <w:pPr>
        <w:spacing w:line="300" w:lineRule="auto"/>
        <w:ind w:firstLine="420"/>
        <w:rPr>
          <w:rFonts w:cs="Times New Roman"/>
          <w:color w:val="auto"/>
          <w:sz w:val="24"/>
          <w:szCs w:val="24"/>
        </w:rPr>
      </w:pPr>
      <w:r>
        <w:rPr>
          <w:rFonts w:hint="eastAsia" w:cs="Times New Roman"/>
          <w:color w:val="auto"/>
          <w:sz w:val="24"/>
          <w:szCs w:val="24"/>
        </w:rPr>
        <w:t>GB/T 50784混凝土结构现场检测技术标准</w:t>
      </w:r>
    </w:p>
    <w:p>
      <w:pPr>
        <w:spacing w:line="300" w:lineRule="auto"/>
        <w:ind w:firstLine="420"/>
        <w:rPr>
          <w:rFonts w:cs="Times New Roman"/>
          <w:color w:val="auto"/>
          <w:sz w:val="24"/>
          <w:szCs w:val="24"/>
        </w:rPr>
      </w:pPr>
      <w:r>
        <w:rPr>
          <w:rFonts w:cs="Times New Roman"/>
          <w:color w:val="auto"/>
          <w:sz w:val="24"/>
          <w:szCs w:val="24"/>
        </w:rPr>
        <w:t>GB/T 51129 装配式建筑评价标准</w:t>
      </w:r>
    </w:p>
    <w:p>
      <w:pPr>
        <w:spacing w:line="300" w:lineRule="auto"/>
        <w:ind w:firstLine="420"/>
        <w:rPr>
          <w:rFonts w:cs="Times New Roman"/>
          <w:color w:val="auto"/>
          <w:sz w:val="24"/>
          <w:szCs w:val="24"/>
        </w:rPr>
      </w:pPr>
      <w:r>
        <w:rPr>
          <w:rFonts w:cs="Times New Roman"/>
          <w:color w:val="auto"/>
          <w:sz w:val="24"/>
          <w:szCs w:val="24"/>
        </w:rPr>
        <w:t>GB/T 51231 装配式混凝土建筑技术标准</w:t>
      </w:r>
    </w:p>
    <w:p>
      <w:pPr>
        <w:spacing w:line="300" w:lineRule="auto"/>
        <w:ind w:firstLine="420"/>
        <w:rPr>
          <w:rFonts w:cs="Times New Roman"/>
          <w:color w:val="auto"/>
          <w:sz w:val="24"/>
          <w:szCs w:val="24"/>
        </w:rPr>
      </w:pPr>
      <w:r>
        <w:rPr>
          <w:rFonts w:cs="Times New Roman"/>
          <w:color w:val="auto"/>
          <w:sz w:val="24"/>
          <w:szCs w:val="24"/>
        </w:rPr>
        <w:t>JGJ 1 装配式混凝土结构技术规程</w:t>
      </w:r>
    </w:p>
    <w:p>
      <w:pPr>
        <w:spacing w:line="300" w:lineRule="auto"/>
        <w:ind w:firstLine="420"/>
        <w:rPr>
          <w:rFonts w:cs="Times New Roman"/>
          <w:color w:val="auto"/>
          <w:sz w:val="24"/>
          <w:szCs w:val="24"/>
        </w:rPr>
      </w:pPr>
      <w:r>
        <w:rPr>
          <w:rFonts w:hint="eastAsia" w:cs="Times New Roman"/>
          <w:color w:val="auto"/>
          <w:sz w:val="24"/>
          <w:szCs w:val="24"/>
        </w:rPr>
        <w:t>JGJ 18钢筋焊接及验收规程</w:t>
      </w:r>
    </w:p>
    <w:p>
      <w:pPr>
        <w:spacing w:line="300" w:lineRule="auto"/>
        <w:ind w:firstLine="420"/>
        <w:rPr>
          <w:rFonts w:cs="Times New Roman"/>
          <w:color w:val="auto"/>
          <w:sz w:val="24"/>
          <w:szCs w:val="24"/>
        </w:rPr>
      </w:pPr>
      <w:r>
        <w:rPr>
          <w:rFonts w:hint="eastAsia" w:cs="Times New Roman"/>
          <w:color w:val="auto"/>
          <w:sz w:val="24"/>
          <w:szCs w:val="24"/>
        </w:rPr>
        <w:t>JGJ/T 23回弹法检测混凝土抗压强度技术规程</w:t>
      </w:r>
    </w:p>
    <w:p>
      <w:pPr>
        <w:spacing w:line="300" w:lineRule="auto"/>
        <w:ind w:firstLine="420"/>
        <w:rPr>
          <w:rFonts w:cs="Times New Roman"/>
          <w:color w:val="auto"/>
          <w:sz w:val="24"/>
          <w:szCs w:val="24"/>
        </w:rPr>
      </w:pPr>
      <w:r>
        <w:rPr>
          <w:rFonts w:hint="eastAsia" w:cs="Times New Roman"/>
          <w:color w:val="auto"/>
          <w:sz w:val="24"/>
          <w:szCs w:val="24"/>
        </w:rPr>
        <w:t>JGJ/T 70建筑砂浆基本性能试验方法标准</w:t>
      </w:r>
    </w:p>
    <w:p>
      <w:pPr>
        <w:spacing w:line="300" w:lineRule="auto"/>
        <w:ind w:firstLine="420"/>
        <w:rPr>
          <w:rFonts w:cs="Times New Roman"/>
          <w:color w:val="auto"/>
          <w:sz w:val="24"/>
          <w:szCs w:val="24"/>
        </w:rPr>
      </w:pPr>
      <w:r>
        <w:rPr>
          <w:rFonts w:hint="eastAsia" w:cs="Times New Roman"/>
          <w:color w:val="auto"/>
          <w:sz w:val="24"/>
          <w:szCs w:val="24"/>
        </w:rPr>
        <w:t>JGJ 107钢筋机械连接技术规程</w:t>
      </w:r>
    </w:p>
    <w:p>
      <w:pPr>
        <w:spacing w:line="300" w:lineRule="auto"/>
        <w:ind w:firstLine="420"/>
        <w:rPr>
          <w:rFonts w:cs="Times New Roman"/>
          <w:color w:val="auto"/>
          <w:sz w:val="24"/>
          <w:szCs w:val="24"/>
        </w:rPr>
      </w:pPr>
      <w:r>
        <w:rPr>
          <w:rFonts w:hint="eastAsia" w:cs="Times New Roman"/>
          <w:color w:val="auto"/>
          <w:sz w:val="24"/>
          <w:szCs w:val="24"/>
        </w:rPr>
        <w:t>JGJ/T 110建筑工程饰面砖粘结强度检验标准</w:t>
      </w:r>
    </w:p>
    <w:p>
      <w:pPr>
        <w:spacing w:line="300" w:lineRule="auto"/>
        <w:ind w:firstLine="420"/>
        <w:rPr>
          <w:rFonts w:cs="Times New Roman"/>
          <w:color w:val="auto"/>
          <w:sz w:val="24"/>
          <w:szCs w:val="24"/>
        </w:rPr>
      </w:pPr>
      <w:r>
        <w:rPr>
          <w:rFonts w:hint="eastAsia" w:cs="Times New Roman"/>
          <w:color w:val="auto"/>
          <w:sz w:val="24"/>
          <w:szCs w:val="24"/>
        </w:rPr>
        <w:t>JGJ/T 152混凝土中钢筋检测技术标准</w:t>
      </w:r>
    </w:p>
    <w:p>
      <w:pPr>
        <w:spacing w:line="300" w:lineRule="auto"/>
        <w:ind w:firstLine="420"/>
        <w:rPr>
          <w:rFonts w:cs="Times New Roman"/>
          <w:color w:val="auto"/>
          <w:sz w:val="24"/>
          <w:szCs w:val="24"/>
        </w:rPr>
      </w:pPr>
      <w:r>
        <w:rPr>
          <w:rFonts w:hint="eastAsia" w:cs="Times New Roman"/>
          <w:color w:val="auto"/>
          <w:sz w:val="24"/>
          <w:szCs w:val="24"/>
        </w:rPr>
        <w:t>JG/T 225预应力混凝土用金属波纹管</w:t>
      </w:r>
    </w:p>
    <w:p>
      <w:pPr>
        <w:spacing w:line="300" w:lineRule="auto"/>
        <w:ind w:firstLine="420"/>
        <w:rPr>
          <w:rFonts w:cs="Times New Roman"/>
          <w:color w:val="auto"/>
          <w:sz w:val="24"/>
          <w:szCs w:val="24"/>
        </w:rPr>
      </w:pPr>
      <w:r>
        <w:rPr>
          <w:rFonts w:cs="Times New Roman"/>
          <w:color w:val="auto"/>
          <w:sz w:val="24"/>
          <w:szCs w:val="24"/>
        </w:rPr>
        <w:t>JGJ 355 钢筋套筒灌浆连接应用技术规程</w:t>
      </w:r>
    </w:p>
    <w:p>
      <w:pPr>
        <w:spacing w:line="300" w:lineRule="auto"/>
        <w:ind w:firstLine="420"/>
        <w:rPr>
          <w:rFonts w:cs="Times New Roman"/>
          <w:color w:val="auto"/>
          <w:sz w:val="24"/>
          <w:szCs w:val="24"/>
        </w:rPr>
      </w:pPr>
      <w:r>
        <w:rPr>
          <w:rFonts w:cs="Times New Roman"/>
          <w:color w:val="auto"/>
          <w:sz w:val="24"/>
          <w:szCs w:val="24"/>
        </w:rPr>
        <w:t>JGJ/T 384</w:t>
      </w:r>
      <w:r>
        <w:rPr>
          <w:rFonts w:hint="eastAsia" w:cs="Times New Roman"/>
          <w:color w:val="auto"/>
          <w:sz w:val="24"/>
          <w:szCs w:val="24"/>
        </w:rPr>
        <w:t>钻芯法检测混凝土强度技术规程</w:t>
      </w:r>
    </w:p>
    <w:p>
      <w:pPr>
        <w:spacing w:line="300" w:lineRule="auto"/>
        <w:ind w:firstLine="420"/>
        <w:rPr>
          <w:rFonts w:cs="Times New Roman"/>
          <w:color w:val="auto"/>
          <w:sz w:val="24"/>
          <w:szCs w:val="24"/>
        </w:rPr>
      </w:pPr>
      <w:r>
        <w:rPr>
          <w:rFonts w:cs="Times New Roman"/>
          <w:color w:val="auto"/>
          <w:sz w:val="24"/>
          <w:szCs w:val="24"/>
        </w:rPr>
        <w:t>JG/T 398 钢筋连接用灌浆套筒</w:t>
      </w:r>
    </w:p>
    <w:p>
      <w:pPr>
        <w:spacing w:line="300" w:lineRule="auto"/>
        <w:ind w:firstLine="420"/>
        <w:rPr>
          <w:rFonts w:cs="Times New Roman"/>
          <w:color w:val="auto"/>
          <w:sz w:val="24"/>
          <w:szCs w:val="24"/>
        </w:rPr>
      </w:pPr>
      <w:r>
        <w:rPr>
          <w:rFonts w:cs="Times New Roman"/>
          <w:color w:val="auto"/>
          <w:sz w:val="24"/>
          <w:szCs w:val="24"/>
        </w:rPr>
        <w:t>JG/T 408 钢筋连接用套筒灌浆料</w:t>
      </w:r>
    </w:p>
    <w:p>
      <w:pPr>
        <w:spacing w:line="300" w:lineRule="auto"/>
        <w:ind w:firstLine="420"/>
        <w:rPr>
          <w:rFonts w:cs="Times New Roman"/>
          <w:color w:val="auto"/>
          <w:sz w:val="24"/>
          <w:szCs w:val="24"/>
        </w:rPr>
      </w:pPr>
      <w:r>
        <w:rPr>
          <w:rFonts w:hint="eastAsia" w:cs="Times New Roman"/>
          <w:color w:val="auto"/>
          <w:sz w:val="24"/>
          <w:szCs w:val="24"/>
        </w:rPr>
        <w:t>JC/T 482聚氨酯建筑密封胶</w:t>
      </w:r>
    </w:p>
    <w:p>
      <w:pPr>
        <w:spacing w:line="300" w:lineRule="auto"/>
        <w:ind w:firstLine="420"/>
        <w:rPr>
          <w:rFonts w:cs="Times New Roman"/>
          <w:color w:val="auto"/>
          <w:sz w:val="24"/>
          <w:szCs w:val="24"/>
        </w:rPr>
      </w:pPr>
      <w:r>
        <w:rPr>
          <w:rFonts w:hint="eastAsia" w:cs="Times New Roman"/>
          <w:color w:val="auto"/>
          <w:sz w:val="24"/>
          <w:szCs w:val="24"/>
        </w:rPr>
        <w:t>JC/T 483  聚硫建筑密封胶</w:t>
      </w:r>
    </w:p>
    <w:p>
      <w:pPr>
        <w:spacing w:line="300" w:lineRule="auto"/>
        <w:ind w:firstLine="420"/>
        <w:rPr>
          <w:rFonts w:cs="Times New Roman"/>
          <w:color w:val="auto"/>
          <w:sz w:val="24"/>
          <w:szCs w:val="24"/>
        </w:rPr>
      </w:pPr>
      <w:r>
        <w:rPr>
          <w:rFonts w:cs="Times New Roman"/>
          <w:color w:val="auto"/>
          <w:sz w:val="24"/>
          <w:szCs w:val="24"/>
        </w:rPr>
        <w:t>JGJ/T</w:t>
      </w:r>
      <w:r>
        <w:rPr>
          <w:rFonts w:hint="eastAsia" w:cs="Times New Roman"/>
          <w:color w:val="auto"/>
          <w:sz w:val="24"/>
          <w:szCs w:val="24"/>
        </w:rPr>
        <w:t xml:space="preserve"> </w:t>
      </w:r>
      <w:r>
        <w:rPr>
          <w:rFonts w:cs="Times New Roman"/>
          <w:color w:val="auto"/>
          <w:sz w:val="24"/>
          <w:szCs w:val="24"/>
        </w:rPr>
        <w:t>485装配式住宅建筑检测技术标准</w:t>
      </w:r>
    </w:p>
    <w:p>
      <w:pPr>
        <w:spacing w:line="300" w:lineRule="auto"/>
        <w:ind w:firstLine="420"/>
        <w:rPr>
          <w:rFonts w:cs="Times New Roman"/>
          <w:color w:val="auto"/>
          <w:sz w:val="24"/>
          <w:szCs w:val="24"/>
        </w:rPr>
      </w:pPr>
      <w:r>
        <w:rPr>
          <w:rFonts w:hint="eastAsia" w:cs="Times New Roman"/>
          <w:color w:val="auto"/>
          <w:sz w:val="24"/>
          <w:szCs w:val="24"/>
        </w:rPr>
        <w:t>JC/T 881混凝土接缝用建筑密封胶</w:t>
      </w:r>
    </w:p>
    <w:p>
      <w:pPr>
        <w:spacing w:line="300" w:lineRule="auto"/>
        <w:ind w:firstLine="420"/>
        <w:rPr>
          <w:rFonts w:cs="Times New Roman"/>
          <w:color w:val="auto"/>
          <w:sz w:val="24"/>
          <w:szCs w:val="24"/>
        </w:rPr>
      </w:pPr>
      <w:r>
        <w:rPr>
          <w:rFonts w:cs="Times New Roman"/>
          <w:color w:val="auto"/>
          <w:sz w:val="24"/>
          <w:szCs w:val="24"/>
        </w:rPr>
        <w:t>JG/T 3050</w:t>
      </w:r>
      <w:r>
        <w:rPr>
          <w:rFonts w:hint="eastAsia" w:cs="Times New Roman"/>
          <w:color w:val="auto"/>
          <w:sz w:val="24"/>
          <w:szCs w:val="24"/>
        </w:rPr>
        <w:t>建筑用绝缘电工套管及配件</w:t>
      </w:r>
    </w:p>
    <w:p>
      <w:pPr>
        <w:spacing w:line="300" w:lineRule="auto"/>
        <w:ind w:firstLine="420"/>
        <w:rPr>
          <w:rFonts w:cs="Times New Roman"/>
          <w:color w:val="auto"/>
          <w:sz w:val="24"/>
          <w:szCs w:val="24"/>
        </w:rPr>
      </w:pPr>
      <w:r>
        <w:rPr>
          <w:rFonts w:cs="Times New Roman"/>
          <w:color w:val="auto"/>
          <w:sz w:val="24"/>
          <w:szCs w:val="24"/>
        </w:rPr>
        <w:t>DB42/T 1224</w:t>
      </w:r>
      <w:r>
        <w:rPr>
          <w:rFonts w:hint="eastAsia" w:cs="Times New Roman"/>
          <w:color w:val="auto"/>
          <w:sz w:val="24"/>
          <w:szCs w:val="24"/>
        </w:rPr>
        <w:t xml:space="preserve"> 预制混凝土构件质量检验标准</w:t>
      </w:r>
    </w:p>
    <w:p>
      <w:pPr>
        <w:spacing w:line="300" w:lineRule="auto"/>
        <w:ind w:firstLine="420"/>
        <w:rPr>
          <w:rFonts w:cs="Times New Roman"/>
          <w:color w:val="auto"/>
          <w:sz w:val="24"/>
          <w:szCs w:val="24"/>
        </w:rPr>
      </w:pPr>
      <w:r>
        <w:rPr>
          <w:rFonts w:cs="Times New Roman"/>
          <w:color w:val="auto"/>
          <w:sz w:val="24"/>
          <w:szCs w:val="24"/>
        </w:rPr>
        <w:t xml:space="preserve">DB42/T 1729 </w:t>
      </w:r>
      <w:r>
        <w:rPr>
          <w:rFonts w:hint="eastAsia" w:cs="Times New Roman"/>
          <w:color w:val="auto"/>
          <w:sz w:val="24"/>
          <w:szCs w:val="24"/>
        </w:rPr>
        <w:t>装配整体式叠合剪力墙结构施工及质量验收规程</w:t>
      </w:r>
    </w:p>
    <w:p>
      <w:pPr>
        <w:spacing w:line="300" w:lineRule="auto"/>
        <w:ind w:firstLine="420"/>
        <w:rPr>
          <w:rFonts w:cs="Times New Roman"/>
          <w:color w:val="auto"/>
          <w:sz w:val="24"/>
          <w:szCs w:val="24"/>
        </w:rPr>
      </w:pPr>
      <w:r>
        <w:rPr>
          <w:rFonts w:hint="eastAsia" w:cs="Times New Roman"/>
          <w:color w:val="auto"/>
          <w:sz w:val="24"/>
          <w:szCs w:val="24"/>
        </w:rPr>
        <w:t>T/CECS 1189 装配式混凝土结构检测标准</w:t>
      </w:r>
    </w:p>
    <w:p>
      <w:pPr>
        <w:spacing w:line="300" w:lineRule="auto"/>
        <w:ind w:firstLine="420"/>
        <w:rPr>
          <w:rFonts w:cs="Times New Roman"/>
          <w:color w:val="auto"/>
          <w:sz w:val="24"/>
          <w:szCs w:val="24"/>
        </w:rPr>
      </w:pPr>
      <w:r>
        <w:rPr>
          <w:rFonts w:hint="eastAsia" w:cs="Times New Roman"/>
          <w:color w:val="auto"/>
          <w:sz w:val="24"/>
          <w:szCs w:val="24"/>
        </w:rPr>
        <w:t>鄂建办〔2018〕335号 湖北省装配式建筑施工质量安全监管要点（试行）</w:t>
      </w:r>
    </w:p>
    <w:p>
      <w:pPr>
        <w:spacing w:line="300" w:lineRule="auto"/>
        <w:ind w:firstLine="420"/>
        <w:rPr>
          <w:rFonts w:cs="Times New Roman"/>
          <w:color w:val="auto"/>
          <w:sz w:val="24"/>
          <w:szCs w:val="24"/>
        </w:rPr>
      </w:pPr>
      <w:r>
        <w:rPr>
          <w:rFonts w:hint="eastAsia" w:cs="Times New Roman"/>
          <w:color w:val="auto"/>
          <w:sz w:val="24"/>
          <w:szCs w:val="24"/>
        </w:rPr>
        <w:t>鄂建办〔2020〕46号 湖北省工程质量安全手册实施细则装配式建筑实体质量控制分册</w:t>
      </w:r>
    </w:p>
    <w:p>
      <w:pPr>
        <w:spacing w:line="300" w:lineRule="auto"/>
        <w:ind w:firstLine="420"/>
        <w:rPr>
          <w:rFonts w:cs="Times New Roman"/>
          <w:color w:val="auto"/>
          <w:sz w:val="24"/>
          <w:szCs w:val="24"/>
        </w:rPr>
      </w:pPr>
      <w:r>
        <w:rPr>
          <w:rFonts w:hint="eastAsia" w:cs="Times New Roman"/>
          <w:color w:val="auto"/>
          <w:sz w:val="24"/>
          <w:szCs w:val="24"/>
        </w:rPr>
        <w:t>武城建规〔2020〕1号 武汉市装配式建筑建设管理实施办法</w:t>
      </w:r>
    </w:p>
    <w:p>
      <w:pPr>
        <w:spacing w:line="300" w:lineRule="auto"/>
        <w:ind w:firstLine="420"/>
        <w:rPr>
          <w:rFonts w:cs="Times New Roman"/>
          <w:color w:val="auto"/>
          <w:sz w:val="24"/>
          <w:szCs w:val="24"/>
        </w:rPr>
      </w:pPr>
      <w:r>
        <w:rPr>
          <w:rFonts w:hint="eastAsia" w:cs="Times New Roman"/>
          <w:color w:val="auto"/>
          <w:sz w:val="24"/>
          <w:szCs w:val="24"/>
        </w:rPr>
        <w:t>武城建〔2021〕35号 市城建局关于实施绿色建筑和装配式建筑设计与工程验收的通知</w:t>
      </w:r>
    </w:p>
    <w:p>
      <w:pPr>
        <w:spacing w:line="300" w:lineRule="auto"/>
        <w:ind w:firstLine="420"/>
        <w:rPr>
          <w:rFonts w:cs="Times New Roman"/>
          <w:color w:val="auto"/>
          <w:sz w:val="24"/>
          <w:szCs w:val="24"/>
        </w:rPr>
      </w:pPr>
      <w:r>
        <w:rPr>
          <w:rFonts w:cs="Times New Roman"/>
          <w:color w:val="auto"/>
          <w:sz w:val="24"/>
          <w:szCs w:val="24"/>
        </w:rPr>
        <w:t>武汉市装配式建筑装配率计算细则（2023）</w:t>
      </w:r>
    </w:p>
    <w:p>
      <w:pPr>
        <w:pStyle w:val="3"/>
        <w:spacing w:before="312" w:after="312" w:line="300" w:lineRule="auto"/>
        <w:rPr>
          <w:rFonts w:cs="Times New Roman"/>
          <w:color w:val="auto"/>
          <w:sz w:val="24"/>
          <w:szCs w:val="24"/>
        </w:rPr>
      </w:pPr>
      <w:bookmarkStart w:id="11" w:name="_Toc147952044"/>
      <w:bookmarkStart w:id="12" w:name="_Toc113869330"/>
      <w:r>
        <w:rPr>
          <w:rFonts w:cs="Times New Roman"/>
          <w:color w:val="auto"/>
          <w:sz w:val="24"/>
          <w:szCs w:val="24"/>
        </w:rPr>
        <w:t>术语</w:t>
      </w:r>
      <w:bookmarkEnd w:id="11"/>
      <w:bookmarkEnd w:id="12"/>
    </w:p>
    <w:p>
      <w:pPr>
        <w:spacing w:line="300" w:lineRule="auto"/>
        <w:rPr>
          <w:rFonts w:cs="Times New Roman"/>
          <w:color w:val="auto"/>
          <w:sz w:val="24"/>
          <w:szCs w:val="24"/>
        </w:rPr>
      </w:pPr>
      <w:r>
        <w:rPr>
          <w:rFonts w:cs="Times New Roman"/>
          <w:color w:val="auto"/>
          <w:sz w:val="24"/>
          <w:szCs w:val="24"/>
        </w:rPr>
        <w:t>下列术语和定义适用于本指南。</w:t>
      </w:r>
    </w:p>
    <w:p>
      <w:pPr>
        <w:pStyle w:val="4"/>
        <w:spacing w:before="156" w:after="156" w:line="300" w:lineRule="auto"/>
        <w:rPr>
          <w:rFonts w:cs="Times New Roman"/>
          <w:color w:val="auto"/>
          <w:sz w:val="24"/>
          <w:szCs w:val="24"/>
        </w:rPr>
      </w:pPr>
      <w:bookmarkStart w:id="13" w:name="_Toc147614232"/>
      <w:bookmarkStart w:id="14" w:name="_Toc147570951"/>
      <w:bookmarkStart w:id="15" w:name="_Toc147952045"/>
      <w:bookmarkStart w:id="16" w:name="_Toc113876855"/>
      <w:bookmarkStart w:id="17" w:name="_Toc147572807"/>
      <w:bookmarkStart w:id="18" w:name="_Toc147572746"/>
      <w:r>
        <w:rPr>
          <w:rFonts w:cs="Times New Roman"/>
          <w:color w:val="auto"/>
          <w:sz w:val="24"/>
          <w:szCs w:val="24"/>
        </w:rPr>
        <w:t>装配式混凝土结构precast concrete structure</w:t>
      </w:r>
      <w:bookmarkEnd w:id="13"/>
      <w:bookmarkEnd w:id="14"/>
      <w:bookmarkEnd w:id="15"/>
      <w:bookmarkEnd w:id="16"/>
      <w:bookmarkEnd w:id="17"/>
      <w:bookmarkEnd w:id="18"/>
      <w:r>
        <w:rPr>
          <w:rFonts w:cs="Times New Roman"/>
          <w:color w:val="auto"/>
          <w:sz w:val="24"/>
          <w:szCs w:val="24"/>
        </w:rPr>
        <w:t xml:space="preserve">    </w:t>
      </w:r>
    </w:p>
    <w:p>
      <w:pPr>
        <w:spacing w:line="300" w:lineRule="auto"/>
        <w:ind w:firstLine="480" w:firstLineChars="200"/>
        <w:rPr>
          <w:rFonts w:cs="Times New Roman"/>
          <w:color w:val="auto"/>
          <w:sz w:val="24"/>
          <w:szCs w:val="24"/>
        </w:rPr>
      </w:pPr>
      <w:r>
        <w:rPr>
          <w:rFonts w:cs="Times New Roman"/>
          <w:color w:val="auto"/>
          <w:sz w:val="24"/>
          <w:szCs w:val="24"/>
        </w:rPr>
        <w:t>由预制混凝土构件通过可靠的连接方式装配而成的混凝土结构，包括装配整体式混凝土结构、全装配</w:t>
      </w:r>
      <w:r>
        <w:rPr>
          <w:rFonts w:hint="eastAsia" w:cs="Times New Roman"/>
          <w:color w:val="auto"/>
          <w:sz w:val="24"/>
          <w:szCs w:val="24"/>
        </w:rPr>
        <w:t>式</w:t>
      </w:r>
      <w:r>
        <w:rPr>
          <w:rFonts w:cs="Times New Roman"/>
          <w:color w:val="auto"/>
          <w:sz w:val="24"/>
          <w:szCs w:val="24"/>
        </w:rPr>
        <w:t>混凝土结构等。</w:t>
      </w:r>
    </w:p>
    <w:p>
      <w:pPr>
        <w:pStyle w:val="4"/>
        <w:spacing w:before="156" w:after="156" w:line="300" w:lineRule="auto"/>
        <w:rPr>
          <w:rFonts w:cs="Times New Roman"/>
          <w:color w:val="auto"/>
          <w:sz w:val="24"/>
          <w:szCs w:val="24"/>
        </w:rPr>
      </w:pPr>
      <w:bookmarkStart w:id="19" w:name="_Toc147952046"/>
      <w:bookmarkStart w:id="20" w:name="_Toc147570952"/>
      <w:bookmarkStart w:id="21" w:name="_Toc147614233"/>
      <w:bookmarkStart w:id="22" w:name="_Toc147572747"/>
      <w:bookmarkStart w:id="23" w:name="_Toc147572808"/>
      <w:r>
        <w:rPr>
          <w:rFonts w:hint="eastAsia" w:cs="Times New Roman"/>
          <w:color w:val="auto"/>
          <w:sz w:val="24"/>
          <w:szCs w:val="24"/>
        </w:rPr>
        <w:t>钢筋套筒灌浆连接</w:t>
      </w:r>
      <w:r>
        <w:rPr>
          <w:rFonts w:cs="Times New Roman"/>
          <w:color w:val="auto"/>
          <w:sz w:val="24"/>
          <w:szCs w:val="24"/>
        </w:rPr>
        <w:t>grout sleeve splicing of rebars</w:t>
      </w:r>
      <w:bookmarkEnd w:id="19"/>
      <w:bookmarkEnd w:id="20"/>
      <w:bookmarkEnd w:id="21"/>
      <w:bookmarkEnd w:id="22"/>
      <w:bookmarkEnd w:id="23"/>
    </w:p>
    <w:p>
      <w:pPr>
        <w:spacing w:line="300" w:lineRule="auto"/>
        <w:ind w:firstLine="480" w:firstLineChars="200"/>
        <w:rPr>
          <w:rFonts w:cs="Times New Roman"/>
          <w:color w:val="auto"/>
          <w:sz w:val="24"/>
          <w:szCs w:val="24"/>
        </w:rPr>
      </w:pPr>
      <w:r>
        <w:rPr>
          <w:rFonts w:hint="eastAsia" w:cs="Times New Roman"/>
          <w:color w:val="auto"/>
          <w:sz w:val="24"/>
          <w:szCs w:val="24"/>
        </w:rPr>
        <w:t>在金属套筒中插入单根带肋钢筋并灌注水泥基灌浆料拌合物，通过拌合物硬化形成整体并实现传力的钢筋对接连接方式。</w:t>
      </w:r>
    </w:p>
    <w:p>
      <w:pPr>
        <w:pStyle w:val="4"/>
        <w:spacing w:before="156" w:after="156" w:line="300" w:lineRule="auto"/>
        <w:rPr>
          <w:rFonts w:cs="Times New Roman"/>
          <w:color w:val="auto"/>
          <w:sz w:val="24"/>
          <w:szCs w:val="24"/>
        </w:rPr>
      </w:pPr>
      <w:r>
        <w:rPr>
          <w:rFonts w:cs="Times New Roman"/>
          <w:color w:val="auto"/>
          <w:sz w:val="24"/>
          <w:szCs w:val="24"/>
        </w:rPr>
        <w:t xml:space="preserve"> </w:t>
      </w:r>
      <w:bookmarkStart w:id="24" w:name="_Toc147572809"/>
      <w:bookmarkStart w:id="25" w:name="_Toc147572748"/>
      <w:bookmarkStart w:id="26" w:name="_Toc147614234"/>
      <w:bookmarkStart w:id="27" w:name="_Toc147952047"/>
      <w:bookmarkStart w:id="28" w:name="_Toc147570953"/>
      <w:r>
        <w:rPr>
          <w:rFonts w:hint="eastAsia" w:cs="Times New Roman"/>
          <w:color w:val="auto"/>
          <w:sz w:val="24"/>
          <w:szCs w:val="24"/>
        </w:rPr>
        <w:t>钢筋浆锚搭接连接</w:t>
      </w:r>
      <w:r>
        <w:rPr>
          <w:rFonts w:cs="Times New Roman"/>
          <w:color w:val="auto"/>
          <w:sz w:val="24"/>
          <w:szCs w:val="24"/>
        </w:rPr>
        <w:t xml:space="preserve"> rebar lapping in grout-filled hole</w:t>
      </w:r>
      <w:bookmarkEnd w:id="24"/>
      <w:bookmarkEnd w:id="25"/>
      <w:bookmarkEnd w:id="26"/>
      <w:bookmarkEnd w:id="27"/>
      <w:bookmarkEnd w:id="28"/>
    </w:p>
    <w:p>
      <w:pPr>
        <w:spacing w:line="300" w:lineRule="auto"/>
        <w:ind w:firstLine="480" w:firstLineChars="200"/>
        <w:rPr>
          <w:rFonts w:cs="Times New Roman"/>
          <w:color w:val="auto"/>
          <w:sz w:val="24"/>
          <w:szCs w:val="24"/>
        </w:rPr>
      </w:pPr>
      <w:r>
        <w:rPr>
          <w:rFonts w:hint="eastAsia" w:cs="Times New Roman"/>
          <w:color w:val="auto"/>
          <w:sz w:val="24"/>
          <w:szCs w:val="24"/>
        </w:rPr>
        <w:t>在预制混凝土结构中预留孔道，在孔道中插入所需搭接的钢筋，并灌注水泥基灌浆料而实现钢筋搭接的连接方式。</w:t>
      </w:r>
    </w:p>
    <w:p>
      <w:pPr>
        <w:pStyle w:val="4"/>
        <w:spacing w:before="156" w:after="156" w:line="300" w:lineRule="auto"/>
        <w:rPr>
          <w:rFonts w:cs="Times New Roman"/>
          <w:color w:val="auto"/>
          <w:sz w:val="24"/>
          <w:szCs w:val="24"/>
        </w:rPr>
      </w:pPr>
      <w:bookmarkStart w:id="29" w:name="_Toc147570954"/>
      <w:bookmarkStart w:id="30" w:name="_Toc147572749"/>
      <w:bookmarkStart w:id="31" w:name="_Toc147614235"/>
      <w:bookmarkStart w:id="32" w:name="_Toc147572810"/>
      <w:bookmarkStart w:id="33" w:name="_Toc147952048"/>
      <w:r>
        <w:rPr>
          <w:rFonts w:hint="eastAsia" w:cs="Times New Roman"/>
          <w:color w:val="auto"/>
          <w:sz w:val="24"/>
          <w:szCs w:val="24"/>
        </w:rPr>
        <w:t>叠合剪力墙 superposed shear wall</w:t>
      </w:r>
      <w:bookmarkEnd w:id="29"/>
      <w:bookmarkEnd w:id="30"/>
      <w:bookmarkEnd w:id="31"/>
      <w:bookmarkEnd w:id="32"/>
      <w:bookmarkEnd w:id="33"/>
    </w:p>
    <w:p>
      <w:pPr>
        <w:spacing w:line="300" w:lineRule="auto"/>
        <w:ind w:firstLine="480" w:firstLineChars="200"/>
        <w:rPr>
          <w:rFonts w:cs="Times New Roman"/>
          <w:color w:val="auto"/>
          <w:sz w:val="24"/>
          <w:szCs w:val="24"/>
        </w:rPr>
      </w:pPr>
      <w:r>
        <w:rPr>
          <w:rFonts w:hint="eastAsia" w:cs="Times New Roman"/>
          <w:color w:val="auto"/>
          <w:sz w:val="24"/>
          <w:szCs w:val="24"/>
        </w:rPr>
        <w:t>预制板参与叠合，与中间空腔的后浇混凝土共同受力而形成的叠合剪力墙。包括单面叠合剪力墙和双面叠合剪力墙。</w:t>
      </w:r>
    </w:p>
    <w:p>
      <w:pPr>
        <w:pStyle w:val="4"/>
        <w:spacing w:before="156" w:after="156" w:line="300" w:lineRule="auto"/>
        <w:rPr>
          <w:rFonts w:cs="Times New Roman"/>
          <w:color w:val="auto"/>
          <w:sz w:val="24"/>
          <w:szCs w:val="24"/>
        </w:rPr>
      </w:pPr>
      <w:bookmarkStart w:id="34" w:name="_Toc147570955"/>
      <w:bookmarkStart w:id="35" w:name="_Toc147614236"/>
      <w:bookmarkStart w:id="36" w:name="_Toc147572750"/>
      <w:bookmarkStart w:id="37" w:name="_Toc147572811"/>
      <w:bookmarkStart w:id="38" w:name="_Toc147952049"/>
      <w:bookmarkStart w:id="39" w:name="_Toc113876859"/>
      <w:r>
        <w:rPr>
          <w:rFonts w:cs="Times New Roman"/>
          <w:color w:val="auto"/>
          <w:sz w:val="24"/>
          <w:szCs w:val="24"/>
        </w:rPr>
        <w:t>灌浆饱满度grouting plumpness</w:t>
      </w:r>
      <w:bookmarkEnd w:id="34"/>
      <w:bookmarkEnd w:id="35"/>
      <w:bookmarkEnd w:id="36"/>
      <w:bookmarkEnd w:id="37"/>
      <w:bookmarkEnd w:id="38"/>
      <w:bookmarkEnd w:id="39"/>
    </w:p>
    <w:p>
      <w:pPr>
        <w:spacing w:line="300" w:lineRule="auto"/>
        <w:ind w:firstLine="480" w:firstLineChars="200"/>
        <w:rPr>
          <w:rFonts w:cs="Times New Roman"/>
          <w:color w:val="auto"/>
          <w:sz w:val="24"/>
          <w:szCs w:val="24"/>
        </w:rPr>
      </w:pPr>
      <w:r>
        <w:rPr>
          <w:rFonts w:cs="Times New Roman"/>
          <w:color w:val="auto"/>
          <w:sz w:val="24"/>
          <w:szCs w:val="24"/>
        </w:rPr>
        <w:t>钢筋套筒灌浆连接或浆锚搭接连接灌浆结束并稳定后，套筒或孔道内钢筋周边填充水泥基高强灌浆料拌合物充盈程度。</w:t>
      </w:r>
    </w:p>
    <w:p>
      <w:pPr>
        <w:pStyle w:val="4"/>
        <w:spacing w:before="156" w:after="156" w:line="300" w:lineRule="auto"/>
        <w:rPr>
          <w:rFonts w:cs="Times New Roman"/>
          <w:color w:val="auto"/>
          <w:sz w:val="24"/>
          <w:szCs w:val="24"/>
        </w:rPr>
      </w:pPr>
      <w:bookmarkStart w:id="40" w:name="_Toc147614237"/>
      <w:bookmarkStart w:id="41" w:name="_Toc147572751"/>
      <w:bookmarkStart w:id="42" w:name="_Toc147570956"/>
      <w:bookmarkStart w:id="43" w:name="_Toc147572812"/>
      <w:bookmarkStart w:id="44" w:name="_Toc147952050"/>
      <w:r>
        <w:rPr>
          <w:rFonts w:cs="Times New Roman"/>
          <w:color w:val="auto"/>
          <w:sz w:val="24"/>
          <w:szCs w:val="24"/>
        </w:rPr>
        <w:t>后浇混凝土cast-in-situ concrete</w:t>
      </w:r>
      <w:bookmarkEnd w:id="40"/>
      <w:bookmarkEnd w:id="41"/>
      <w:bookmarkEnd w:id="42"/>
      <w:bookmarkEnd w:id="43"/>
      <w:bookmarkEnd w:id="44"/>
    </w:p>
    <w:p>
      <w:pPr>
        <w:spacing w:line="300" w:lineRule="auto"/>
        <w:ind w:firstLine="480" w:firstLineChars="200"/>
        <w:rPr>
          <w:color w:val="auto"/>
        </w:rPr>
      </w:pPr>
      <w:r>
        <w:rPr>
          <w:rFonts w:cs="Times New Roman"/>
          <w:color w:val="auto"/>
          <w:sz w:val="24"/>
          <w:szCs w:val="24"/>
        </w:rPr>
        <w:t>施工现场预制构件安装完成后原位浇筑的混凝土。</w:t>
      </w:r>
    </w:p>
    <w:p>
      <w:pPr>
        <w:pStyle w:val="4"/>
        <w:spacing w:before="156" w:after="156" w:line="300" w:lineRule="auto"/>
        <w:rPr>
          <w:rFonts w:cs="Times New Roman"/>
          <w:color w:val="auto"/>
          <w:sz w:val="24"/>
          <w:szCs w:val="24"/>
        </w:rPr>
      </w:pPr>
      <w:bookmarkStart w:id="45" w:name="_Toc147572813"/>
      <w:bookmarkStart w:id="46" w:name="_Toc147572752"/>
      <w:bookmarkStart w:id="47" w:name="_Toc113876860"/>
      <w:bookmarkStart w:id="48" w:name="_Toc147570957"/>
      <w:bookmarkStart w:id="49" w:name="_Toc147614238"/>
      <w:bookmarkStart w:id="50" w:name="_Toc147952051"/>
      <w:r>
        <w:rPr>
          <w:rFonts w:cs="Times New Roman"/>
          <w:color w:val="auto"/>
          <w:sz w:val="24"/>
          <w:szCs w:val="24"/>
        </w:rPr>
        <w:t>粗糙面composite rough surface</w:t>
      </w:r>
      <w:bookmarkEnd w:id="45"/>
      <w:bookmarkEnd w:id="46"/>
      <w:bookmarkEnd w:id="47"/>
      <w:bookmarkEnd w:id="48"/>
      <w:bookmarkEnd w:id="49"/>
      <w:bookmarkEnd w:id="50"/>
    </w:p>
    <w:p>
      <w:pPr>
        <w:spacing w:line="300" w:lineRule="auto"/>
        <w:ind w:firstLine="560"/>
        <w:rPr>
          <w:rFonts w:cs="Times New Roman"/>
          <w:color w:val="auto"/>
          <w:sz w:val="24"/>
          <w:szCs w:val="24"/>
        </w:rPr>
      </w:pPr>
      <w:r>
        <w:rPr>
          <w:rFonts w:cs="Times New Roman"/>
          <w:color w:val="auto"/>
          <w:sz w:val="24"/>
          <w:szCs w:val="24"/>
        </w:rPr>
        <w:t>预制构件与后浇混凝土或灌浆料拌合物的结合面，在预制构件制作时按设计要求采用拉毛、凿毛、留设凹凸块、气泡膜模板或水洗露骨料等方法形成混凝土凹凸不平或骨料显露的表面。</w:t>
      </w:r>
    </w:p>
    <w:p>
      <w:pPr>
        <w:pStyle w:val="4"/>
        <w:spacing w:before="156" w:after="156" w:line="300" w:lineRule="auto"/>
        <w:rPr>
          <w:rFonts w:cs="Times New Roman"/>
          <w:color w:val="auto"/>
          <w:sz w:val="24"/>
          <w:szCs w:val="24"/>
        </w:rPr>
      </w:pPr>
      <w:bookmarkStart w:id="51" w:name="_Toc147572753"/>
      <w:bookmarkStart w:id="52" w:name="_Toc147572814"/>
      <w:bookmarkStart w:id="53" w:name="_Toc147570958"/>
      <w:bookmarkStart w:id="54" w:name="_Toc113876861"/>
      <w:bookmarkStart w:id="55" w:name="_Toc147614239"/>
      <w:bookmarkStart w:id="56" w:name="_Toc147952052"/>
      <w:r>
        <w:rPr>
          <w:rFonts w:cs="Times New Roman"/>
          <w:color w:val="auto"/>
          <w:sz w:val="24"/>
          <w:szCs w:val="24"/>
        </w:rPr>
        <w:t>装配率 prefabrication ratio</w:t>
      </w:r>
      <w:bookmarkEnd w:id="51"/>
      <w:bookmarkEnd w:id="52"/>
      <w:bookmarkEnd w:id="53"/>
      <w:bookmarkEnd w:id="54"/>
      <w:bookmarkEnd w:id="55"/>
      <w:bookmarkEnd w:id="56"/>
    </w:p>
    <w:p>
      <w:pPr>
        <w:spacing w:line="300" w:lineRule="auto"/>
        <w:ind w:firstLine="480" w:firstLineChars="200"/>
        <w:rPr>
          <w:color w:val="auto"/>
          <w:sz w:val="24"/>
          <w:szCs w:val="24"/>
        </w:rPr>
      </w:pPr>
      <w:r>
        <w:rPr>
          <w:rFonts w:hint="eastAsia"/>
          <w:color w:val="auto"/>
          <w:sz w:val="24"/>
          <w:szCs w:val="24"/>
        </w:rPr>
        <w:t>单体建筑室外地坪以上的主体结构、围护墙和内隔墙、装修和设备管线等采用预制部品部件的综合比例。</w:t>
      </w:r>
    </w:p>
    <w:p>
      <w:pPr>
        <w:pStyle w:val="3"/>
        <w:spacing w:before="312" w:after="312" w:line="300" w:lineRule="auto"/>
        <w:rPr>
          <w:rFonts w:cs="Times New Roman"/>
          <w:color w:val="auto"/>
          <w:sz w:val="24"/>
          <w:szCs w:val="24"/>
        </w:rPr>
      </w:pPr>
      <w:bookmarkStart w:id="57" w:name="_Toc113869332"/>
      <w:bookmarkStart w:id="58" w:name="_Toc147952053"/>
      <w:r>
        <w:rPr>
          <w:rFonts w:cs="Times New Roman"/>
          <w:color w:val="auto"/>
          <w:sz w:val="24"/>
          <w:szCs w:val="24"/>
        </w:rPr>
        <w:t>基本规定</w:t>
      </w:r>
      <w:bookmarkEnd w:id="57"/>
      <w:bookmarkEnd w:id="58"/>
    </w:p>
    <w:p>
      <w:pPr>
        <w:pStyle w:val="4"/>
        <w:spacing w:before="156" w:after="156" w:line="300" w:lineRule="auto"/>
        <w:rPr>
          <w:rFonts w:eastAsia="宋体" w:cs="Times New Roman"/>
          <w:color w:val="auto"/>
          <w:sz w:val="24"/>
          <w:szCs w:val="24"/>
        </w:rPr>
      </w:pPr>
      <w:bookmarkStart w:id="59" w:name="_Toc147570964"/>
      <w:bookmarkStart w:id="60" w:name="_Toc147572820"/>
      <w:bookmarkStart w:id="61" w:name="_Toc147572759"/>
      <w:bookmarkStart w:id="62" w:name="_Toc147614245"/>
      <w:bookmarkStart w:id="63" w:name="_Toc147952054"/>
      <w:r>
        <w:rPr>
          <w:rFonts w:hint="eastAsia" w:eastAsia="宋体" w:cs="Times New Roman"/>
          <w:color w:val="auto"/>
          <w:sz w:val="24"/>
          <w:szCs w:val="24"/>
        </w:rPr>
        <w:t>装配式混凝土建筑施工应按现行国家标准《建筑工程施工质量验收统一标准》GB 50300的有关规定进行单位工程、分部工程、分项工程和检验批的划分和质量验收</w:t>
      </w:r>
      <w:bookmarkEnd w:id="59"/>
      <w:bookmarkEnd w:id="60"/>
      <w:bookmarkEnd w:id="61"/>
      <w:bookmarkEnd w:id="62"/>
      <w:r>
        <w:rPr>
          <w:rFonts w:hint="eastAsia" w:eastAsia="宋体" w:cs="Times New Roman"/>
          <w:color w:val="auto"/>
          <w:sz w:val="24"/>
          <w:szCs w:val="24"/>
        </w:rPr>
        <w:t>，检验批、分项工程和子分部工程的质量验收记录可按本指南附录A.1至A.8 的格式进行记录。</w:t>
      </w:r>
      <w:bookmarkEnd w:id="63"/>
    </w:p>
    <w:p>
      <w:pPr>
        <w:pStyle w:val="4"/>
        <w:spacing w:before="156" w:after="156" w:line="300" w:lineRule="auto"/>
        <w:rPr>
          <w:rFonts w:eastAsia="宋体" w:cs="Times New Roman"/>
          <w:color w:val="auto"/>
          <w:sz w:val="24"/>
          <w:szCs w:val="24"/>
        </w:rPr>
      </w:pPr>
      <w:bookmarkStart w:id="64" w:name="_Toc147572825"/>
      <w:bookmarkStart w:id="65" w:name="_Toc147614250"/>
      <w:bookmarkStart w:id="66" w:name="_Toc147952055"/>
      <w:bookmarkStart w:id="67" w:name="_Toc113876872"/>
      <w:bookmarkStart w:id="68" w:name="_Toc147570969"/>
      <w:bookmarkStart w:id="69" w:name="_Toc147572764"/>
      <w:r>
        <w:rPr>
          <w:rFonts w:eastAsia="宋体" w:cs="Times New Roman"/>
          <w:color w:val="auto"/>
          <w:sz w:val="24"/>
          <w:szCs w:val="24"/>
        </w:rPr>
        <w:t>装配式混凝土结构</w:t>
      </w:r>
      <w:r>
        <w:rPr>
          <w:rFonts w:hint="eastAsia" w:eastAsia="宋体" w:cs="Times New Roman"/>
          <w:color w:val="auto"/>
          <w:sz w:val="24"/>
          <w:szCs w:val="24"/>
        </w:rPr>
        <w:t>分项</w:t>
      </w:r>
      <w:r>
        <w:rPr>
          <w:rFonts w:eastAsia="宋体" w:cs="Times New Roman"/>
          <w:color w:val="auto"/>
          <w:sz w:val="24"/>
          <w:szCs w:val="24"/>
        </w:rPr>
        <w:t>工程可划分为材料、预制构件、连接与安装等分项工程，分项工程应按楼层、结构缝或施工段划分检验批。</w:t>
      </w:r>
      <w:bookmarkEnd w:id="64"/>
      <w:bookmarkEnd w:id="65"/>
      <w:bookmarkEnd w:id="66"/>
      <w:bookmarkEnd w:id="67"/>
      <w:bookmarkEnd w:id="68"/>
      <w:bookmarkEnd w:id="69"/>
    </w:p>
    <w:p>
      <w:pPr>
        <w:pStyle w:val="4"/>
        <w:spacing w:before="156" w:after="156" w:line="300" w:lineRule="auto"/>
        <w:rPr>
          <w:rFonts w:eastAsia="宋体" w:cs="Times New Roman"/>
          <w:color w:val="auto"/>
          <w:sz w:val="24"/>
          <w:szCs w:val="24"/>
        </w:rPr>
      </w:pPr>
      <w:bookmarkStart w:id="70" w:name="_Toc113876873"/>
      <w:bookmarkStart w:id="71" w:name="_Toc147570970"/>
      <w:bookmarkStart w:id="72" w:name="_Toc147572765"/>
      <w:bookmarkStart w:id="73" w:name="_Toc147614251"/>
      <w:bookmarkStart w:id="74" w:name="_Toc147572826"/>
      <w:bookmarkStart w:id="75" w:name="_Toc147952056"/>
      <w:r>
        <w:rPr>
          <w:rFonts w:eastAsia="宋体" w:cs="Times New Roman"/>
          <w:color w:val="auto"/>
          <w:sz w:val="24"/>
          <w:szCs w:val="24"/>
        </w:rPr>
        <w:t>分项工程的质量验收应在所含检验批验收合格的基础上，进行质量验收记录检查。</w:t>
      </w:r>
      <w:bookmarkEnd w:id="70"/>
      <w:bookmarkEnd w:id="71"/>
      <w:bookmarkEnd w:id="72"/>
      <w:bookmarkEnd w:id="73"/>
      <w:bookmarkEnd w:id="74"/>
      <w:bookmarkEnd w:id="75"/>
    </w:p>
    <w:p>
      <w:pPr>
        <w:pStyle w:val="4"/>
        <w:spacing w:before="156" w:after="156" w:line="300" w:lineRule="auto"/>
        <w:rPr>
          <w:rFonts w:eastAsia="宋体" w:cs="Times New Roman"/>
          <w:color w:val="auto"/>
          <w:sz w:val="24"/>
          <w:szCs w:val="24"/>
        </w:rPr>
      </w:pPr>
      <w:bookmarkStart w:id="76" w:name="_Toc147570971"/>
      <w:bookmarkStart w:id="77" w:name="_Toc147572766"/>
      <w:bookmarkStart w:id="78" w:name="_Toc113876874"/>
      <w:bookmarkStart w:id="79" w:name="_Toc147614252"/>
      <w:bookmarkStart w:id="80" w:name="_Toc147572827"/>
      <w:bookmarkStart w:id="81" w:name="_Toc147952057"/>
      <w:r>
        <w:rPr>
          <w:rFonts w:eastAsia="宋体" w:cs="Times New Roman"/>
          <w:color w:val="auto"/>
          <w:sz w:val="24"/>
          <w:szCs w:val="24"/>
        </w:rPr>
        <w:t>检验批的质量验收应包括实物检查和资料检查，并应符合下列规定：</w:t>
      </w:r>
      <w:bookmarkEnd w:id="76"/>
      <w:bookmarkEnd w:id="77"/>
      <w:bookmarkEnd w:id="78"/>
      <w:bookmarkEnd w:id="79"/>
      <w:bookmarkEnd w:id="80"/>
      <w:bookmarkEnd w:id="81"/>
    </w:p>
    <w:p>
      <w:pPr>
        <w:spacing w:line="300" w:lineRule="auto"/>
        <w:rPr>
          <w:rFonts w:cs="Times New Roman"/>
          <w:color w:val="auto"/>
          <w:sz w:val="24"/>
          <w:szCs w:val="24"/>
        </w:rPr>
      </w:pPr>
      <w:r>
        <w:rPr>
          <w:rFonts w:cs="Times New Roman"/>
          <w:color w:val="auto"/>
          <w:sz w:val="24"/>
          <w:szCs w:val="24"/>
        </w:rPr>
        <w:t xml:space="preserve">    a）主控项目的质量经抽样检验应合格；</w:t>
      </w:r>
    </w:p>
    <w:p>
      <w:pPr>
        <w:spacing w:line="300" w:lineRule="auto"/>
        <w:rPr>
          <w:rFonts w:cs="Times New Roman"/>
          <w:color w:val="auto"/>
          <w:sz w:val="24"/>
          <w:szCs w:val="24"/>
        </w:rPr>
      </w:pPr>
      <w:r>
        <w:rPr>
          <w:rFonts w:cs="Times New Roman"/>
          <w:color w:val="auto"/>
          <w:sz w:val="24"/>
          <w:szCs w:val="24"/>
        </w:rPr>
        <w:t xml:space="preserve">    b）一般项目的质量经抽样检验应合格；一般项目当采用计数抽样检验时，除本章有专门规定外，其合格点率应达到80%及以上，且不得有严重缺陷；</w:t>
      </w:r>
    </w:p>
    <w:p>
      <w:pPr>
        <w:spacing w:line="300" w:lineRule="auto"/>
        <w:rPr>
          <w:rFonts w:cs="Times New Roman"/>
          <w:color w:val="auto"/>
          <w:sz w:val="24"/>
          <w:szCs w:val="24"/>
        </w:rPr>
      </w:pPr>
      <w:r>
        <w:rPr>
          <w:rFonts w:cs="Times New Roman"/>
          <w:color w:val="auto"/>
          <w:sz w:val="24"/>
          <w:szCs w:val="24"/>
        </w:rPr>
        <w:t xml:space="preserve">    c）应具有完整的质量检验记录，重要工序应具有完整的施工操作记录。</w:t>
      </w:r>
    </w:p>
    <w:p>
      <w:pPr>
        <w:pStyle w:val="4"/>
        <w:spacing w:before="156" w:after="156" w:line="300" w:lineRule="auto"/>
        <w:rPr>
          <w:rFonts w:eastAsia="宋体" w:cs="Times New Roman"/>
          <w:color w:val="auto"/>
          <w:sz w:val="24"/>
          <w:szCs w:val="24"/>
        </w:rPr>
      </w:pPr>
      <w:bookmarkStart w:id="82" w:name="_Toc147572828"/>
      <w:bookmarkStart w:id="83" w:name="_Toc147614253"/>
      <w:bookmarkStart w:id="84" w:name="_Toc147570972"/>
      <w:bookmarkStart w:id="85" w:name="_Toc113876875"/>
      <w:bookmarkStart w:id="86" w:name="_Toc147572767"/>
      <w:bookmarkStart w:id="87" w:name="_Toc147952058"/>
      <w:r>
        <w:rPr>
          <w:rFonts w:eastAsia="宋体" w:cs="Times New Roman"/>
          <w:color w:val="auto"/>
          <w:sz w:val="24"/>
          <w:szCs w:val="24"/>
        </w:rPr>
        <w:t>检验批抽样样本应随机抽取，并应满足分布均匀、具有代表性的要求。</w:t>
      </w:r>
      <w:bookmarkEnd w:id="82"/>
      <w:bookmarkEnd w:id="83"/>
      <w:bookmarkEnd w:id="84"/>
      <w:bookmarkEnd w:id="85"/>
      <w:bookmarkEnd w:id="86"/>
      <w:bookmarkEnd w:id="87"/>
      <w:bookmarkStart w:id="88" w:name="_Toc147572829"/>
      <w:bookmarkStart w:id="89" w:name="_Toc147570975"/>
      <w:bookmarkStart w:id="90" w:name="_Toc147572768"/>
      <w:bookmarkStart w:id="91" w:name="_Toc113876879"/>
      <w:bookmarkStart w:id="92" w:name="_Toc147614254"/>
      <w:bookmarkStart w:id="93" w:name="_Toc147952059"/>
    </w:p>
    <w:p>
      <w:pPr>
        <w:pStyle w:val="4"/>
        <w:spacing w:before="156" w:after="156" w:line="300" w:lineRule="auto"/>
        <w:rPr>
          <w:rFonts w:eastAsia="宋体" w:cs="Times New Roman"/>
          <w:color w:val="auto"/>
          <w:sz w:val="24"/>
          <w:szCs w:val="24"/>
        </w:rPr>
      </w:pPr>
      <w:r>
        <w:rPr>
          <w:rFonts w:eastAsia="宋体" w:cs="Times New Roman"/>
          <w:color w:val="auto"/>
          <w:sz w:val="24"/>
          <w:szCs w:val="24"/>
        </w:rPr>
        <w:t>当装配式混凝土结构连接节点质量现场检测不合格时</w:t>
      </w:r>
      <w:r>
        <w:rPr>
          <w:rFonts w:hint="eastAsia" w:eastAsia="宋体" w:cs="Times New Roman"/>
          <w:color w:val="auto"/>
          <w:sz w:val="24"/>
          <w:szCs w:val="24"/>
        </w:rPr>
        <w:t>，</w:t>
      </w:r>
      <w:r>
        <w:rPr>
          <w:rFonts w:eastAsia="宋体" w:cs="Times New Roman"/>
          <w:color w:val="auto"/>
          <w:sz w:val="24"/>
          <w:szCs w:val="24"/>
        </w:rPr>
        <w:t>应及时分析原因</w:t>
      </w:r>
      <w:r>
        <w:rPr>
          <w:rFonts w:hint="eastAsia" w:eastAsia="宋体" w:cs="Times New Roman"/>
          <w:color w:val="auto"/>
          <w:sz w:val="24"/>
          <w:szCs w:val="24"/>
        </w:rPr>
        <w:t>，</w:t>
      </w:r>
      <w:r>
        <w:rPr>
          <w:rFonts w:eastAsia="宋体" w:cs="Times New Roman"/>
          <w:color w:val="auto"/>
          <w:sz w:val="24"/>
          <w:szCs w:val="24"/>
        </w:rPr>
        <w:t>改进施工工艺</w:t>
      </w:r>
      <w:r>
        <w:rPr>
          <w:rFonts w:hint="eastAsia" w:eastAsia="宋体" w:cs="Times New Roman"/>
          <w:color w:val="auto"/>
          <w:sz w:val="24"/>
          <w:szCs w:val="24"/>
        </w:rPr>
        <w:t>，</w:t>
      </w:r>
      <w:r>
        <w:rPr>
          <w:rFonts w:eastAsia="宋体" w:cs="Times New Roman"/>
          <w:color w:val="auto"/>
          <w:sz w:val="24"/>
          <w:szCs w:val="24"/>
        </w:rPr>
        <w:t>解决存在的问题</w:t>
      </w:r>
      <w:r>
        <w:rPr>
          <w:rFonts w:hint="eastAsia" w:eastAsia="宋体" w:cs="Times New Roman"/>
          <w:color w:val="auto"/>
          <w:sz w:val="24"/>
          <w:szCs w:val="24"/>
        </w:rPr>
        <w:t>。</w:t>
      </w:r>
      <w:r>
        <w:rPr>
          <w:rFonts w:eastAsia="宋体" w:cs="Times New Roman"/>
          <w:color w:val="auto"/>
          <w:sz w:val="24"/>
          <w:szCs w:val="24"/>
        </w:rPr>
        <w:t>整改后应重新检测</w:t>
      </w:r>
      <w:r>
        <w:rPr>
          <w:rFonts w:hint="eastAsia" w:eastAsia="宋体" w:cs="Times New Roman"/>
          <w:color w:val="auto"/>
          <w:sz w:val="24"/>
          <w:szCs w:val="24"/>
        </w:rPr>
        <w:t>，</w:t>
      </w:r>
      <w:r>
        <w:rPr>
          <w:rFonts w:eastAsia="宋体" w:cs="Times New Roman"/>
          <w:color w:val="auto"/>
          <w:sz w:val="24"/>
          <w:szCs w:val="24"/>
        </w:rPr>
        <w:t>合格后方可进行下道工序施工</w:t>
      </w:r>
      <w:r>
        <w:rPr>
          <w:rFonts w:hint="eastAsia" w:eastAsia="宋体" w:cs="Times New Roman"/>
          <w:color w:val="auto"/>
          <w:sz w:val="24"/>
          <w:szCs w:val="24"/>
        </w:rPr>
        <w:t>。</w:t>
      </w:r>
      <w:r>
        <w:rPr>
          <w:rFonts w:eastAsia="宋体" w:cs="Times New Roman"/>
          <w:color w:val="auto"/>
          <w:sz w:val="24"/>
          <w:szCs w:val="24"/>
        </w:rPr>
        <w:t>当装配式混凝土结构的其他施工质量不符合要求时，应按</w:t>
      </w:r>
      <w:r>
        <w:rPr>
          <w:rFonts w:hint="eastAsia" w:eastAsia="宋体" w:cs="Times New Roman"/>
          <w:color w:val="auto"/>
          <w:sz w:val="24"/>
          <w:szCs w:val="24"/>
        </w:rPr>
        <w:t>《建筑工程施工质量验收统一标准》GB 50300</w:t>
      </w:r>
      <w:r>
        <w:rPr>
          <w:rFonts w:eastAsia="宋体" w:cs="Times New Roman"/>
          <w:color w:val="auto"/>
          <w:sz w:val="24"/>
          <w:szCs w:val="24"/>
        </w:rPr>
        <w:t>规定进行处理</w:t>
      </w:r>
      <w:r>
        <w:rPr>
          <w:rFonts w:hint="eastAsia" w:eastAsia="宋体" w:cs="Times New Roman"/>
          <w:color w:val="auto"/>
          <w:sz w:val="24"/>
          <w:szCs w:val="24"/>
        </w:rPr>
        <w:t>。</w:t>
      </w:r>
      <w:bookmarkEnd w:id="88"/>
      <w:bookmarkEnd w:id="89"/>
      <w:bookmarkEnd w:id="90"/>
      <w:bookmarkEnd w:id="91"/>
      <w:bookmarkEnd w:id="92"/>
      <w:bookmarkEnd w:id="93"/>
      <w:bookmarkStart w:id="94" w:name="_Toc113876880"/>
      <w:bookmarkStart w:id="95" w:name="_Toc147614255"/>
      <w:bookmarkStart w:id="96" w:name="_Toc147570976"/>
      <w:bookmarkStart w:id="97" w:name="_Toc147572769"/>
      <w:bookmarkStart w:id="98" w:name="_Toc147572830"/>
      <w:bookmarkStart w:id="99" w:name="_Toc147952060"/>
    </w:p>
    <w:p>
      <w:pPr>
        <w:pStyle w:val="4"/>
        <w:spacing w:before="156" w:after="156" w:line="300" w:lineRule="auto"/>
        <w:rPr>
          <w:rFonts w:eastAsia="宋体" w:cs="Times New Roman"/>
          <w:color w:val="auto"/>
          <w:sz w:val="24"/>
          <w:szCs w:val="24"/>
        </w:rPr>
      </w:pPr>
      <w:r>
        <w:rPr>
          <w:rFonts w:eastAsia="宋体" w:cs="Times New Roman"/>
          <w:color w:val="auto"/>
          <w:sz w:val="24"/>
          <w:szCs w:val="24"/>
        </w:rPr>
        <w:t>建设单位应组织装配式混凝土结构工程参建各方(包括设计单位、预制构件生产单位、</w:t>
      </w:r>
      <w:r>
        <w:rPr>
          <w:rFonts w:hint="eastAsia" w:eastAsia="宋体" w:cs="Times New Roman"/>
          <w:color w:val="auto"/>
          <w:sz w:val="24"/>
          <w:szCs w:val="24"/>
        </w:rPr>
        <w:t>预制构件安装单位、</w:t>
      </w:r>
      <w:r>
        <w:rPr>
          <w:rFonts w:eastAsia="宋体" w:cs="Times New Roman"/>
          <w:color w:val="auto"/>
          <w:sz w:val="24"/>
          <w:szCs w:val="24"/>
        </w:rPr>
        <w:t>施工总承包单位和监理单位）在</w:t>
      </w:r>
      <w:r>
        <w:rPr>
          <w:rFonts w:hint="eastAsia" w:eastAsia="宋体" w:cs="Times New Roman"/>
          <w:color w:val="auto"/>
          <w:sz w:val="24"/>
          <w:szCs w:val="24"/>
        </w:rPr>
        <w:t>首层或者首个代表性</w:t>
      </w:r>
      <w:r>
        <w:rPr>
          <w:rFonts w:eastAsia="宋体" w:cs="Times New Roman"/>
          <w:color w:val="auto"/>
          <w:sz w:val="24"/>
          <w:szCs w:val="24"/>
        </w:rPr>
        <w:t>施工段预制构件安装完成和后浇混凝土部位隐蔽工程完成后进行</w:t>
      </w:r>
      <w:r>
        <w:rPr>
          <w:rFonts w:hint="eastAsia" w:eastAsia="宋体" w:cs="Times New Roman"/>
          <w:color w:val="auto"/>
          <w:sz w:val="24"/>
          <w:szCs w:val="24"/>
        </w:rPr>
        <w:t>首层或者首个代表性施工段验收</w:t>
      </w:r>
      <w:r>
        <w:rPr>
          <w:rFonts w:eastAsia="宋体" w:cs="Times New Roman"/>
          <w:color w:val="auto"/>
          <w:sz w:val="24"/>
          <w:szCs w:val="24"/>
        </w:rPr>
        <w:t>，其验收表格可参见附录</w:t>
      </w:r>
      <w:bookmarkEnd w:id="94"/>
      <w:r>
        <w:rPr>
          <w:rFonts w:hint="eastAsia" w:eastAsia="宋体" w:cs="Times New Roman"/>
          <w:color w:val="auto"/>
          <w:sz w:val="24"/>
          <w:szCs w:val="24"/>
        </w:rPr>
        <w:t>A.9。</w:t>
      </w:r>
      <w:bookmarkEnd w:id="95"/>
      <w:bookmarkEnd w:id="96"/>
      <w:bookmarkEnd w:id="97"/>
      <w:bookmarkEnd w:id="98"/>
      <w:bookmarkEnd w:id="99"/>
    </w:p>
    <w:p>
      <w:pPr>
        <w:pStyle w:val="4"/>
        <w:spacing w:before="156" w:after="156" w:line="300" w:lineRule="auto"/>
        <w:rPr>
          <w:rFonts w:eastAsia="宋体" w:cs="Times New Roman"/>
          <w:color w:val="auto"/>
          <w:sz w:val="24"/>
          <w:szCs w:val="24"/>
        </w:rPr>
      </w:pPr>
      <w:bookmarkStart w:id="100" w:name="_Toc147952061"/>
      <w:bookmarkStart w:id="101" w:name="_Toc113876882"/>
      <w:bookmarkStart w:id="102" w:name="_Toc147572771"/>
      <w:bookmarkStart w:id="103" w:name="_Toc147572832"/>
      <w:bookmarkStart w:id="104" w:name="_Toc147614257"/>
      <w:bookmarkStart w:id="105" w:name="_Toc147570978"/>
      <w:r>
        <w:rPr>
          <w:rFonts w:hint="eastAsia" w:eastAsia="宋体" w:cs="Times New Roman"/>
          <w:color w:val="auto"/>
          <w:sz w:val="24"/>
          <w:szCs w:val="24"/>
        </w:rPr>
        <w:t>装配式</w:t>
      </w:r>
      <w:r>
        <w:rPr>
          <w:rFonts w:eastAsia="宋体" w:cs="Times New Roman"/>
          <w:color w:val="auto"/>
          <w:sz w:val="24"/>
          <w:szCs w:val="24"/>
        </w:rPr>
        <w:t>混凝土结构</w:t>
      </w:r>
      <w:r>
        <w:rPr>
          <w:rFonts w:hint="eastAsia" w:eastAsia="宋体" w:cs="Times New Roman"/>
          <w:color w:val="auto"/>
          <w:sz w:val="24"/>
          <w:szCs w:val="24"/>
        </w:rPr>
        <w:t>分项</w:t>
      </w:r>
      <w:r>
        <w:rPr>
          <w:rFonts w:eastAsia="宋体" w:cs="Times New Roman"/>
          <w:color w:val="auto"/>
          <w:sz w:val="24"/>
          <w:szCs w:val="24"/>
        </w:rPr>
        <w:t>工程验收时需提供的文件和记录要求</w:t>
      </w:r>
      <w:r>
        <w:rPr>
          <w:rFonts w:hint="eastAsia" w:eastAsia="宋体" w:cs="Times New Roman"/>
          <w:color w:val="auto"/>
          <w:sz w:val="24"/>
          <w:szCs w:val="24"/>
        </w:rPr>
        <w:t>：</w:t>
      </w:r>
      <w:bookmarkEnd w:id="100"/>
    </w:p>
    <w:p>
      <w:pPr>
        <w:spacing w:line="300" w:lineRule="auto"/>
        <w:ind w:firstLine="480" w:firstLineChars="200"/>
        <w:rPr>
          <w:rFonts w:cs="Times New Roman"/>
          <w:color w:val="auto"/>
          <w:sz w:val="24"/>
          <w:szCs w:val="24"/>
        </w:rPr>
      </w:pPr>
      <w:r>
        <w:rPr>
          <w:rFonts w:hint="eastAsia" w:cs="Times New Roman"/>
          <w:color w:val="auto"/>
          <w:sz w:val="24"/>
          <w:szCs w:val="24"/>
        </w:rPr>
        <w:t>a）</w:t>
      </w:r>
      <w:r>
        <w:rPr>
          <w:rFonts w:cs="Times New Roman"/>
          <w:color w:val="auto"/>
          <w:sz w:val="24"/>
          <w:szCs w:val="24"/>
        </w:rPr>
        <w:t>应符合现行国家标准《混凝土结构工程施工质量验收规范》</w:t>
      </w:r>
      <w:bookmarkEnd w:id="101"/>
      <w:r>
        <w:rPr>
          <w:rFonts w:hint="eastAsia" w:cs="Times New Roman"/>
          <w:color w:val="auto"/>
          <w:sz w:val="24"/>
          <w:szCs w:val="24"/>
        </w:rPr>
        <w:t>GB 50204的有关规定；</w:t>
      </w:r>
    </w:p>
    <w:p>
      <w:pPr>
        <w:spacing w:line="300" w:lineRule="auto"/>
        <w:ind w:firstLine="480" w:firstLineChars="200"/>
        <w:rPr>
          <w:rFonts w:cs="Times New Roman"/>
          <w:color w:val="auto"/>
          <w:sz w:val="24"/>
          <w:szCs w:val="24"/>
        </w:rPr>
      </w:pPr>
      <w:r>
        <w:rPr>
          <w:rFonts w:hint="eastAsia" w:cs="Times New Roman"/>
          <w:color w:val="auto"/>
          <w:sz w:val="24"/>
          <w:szCs w:val="24"/>
        </w:rPr>
        <w:t>b）焊接、螺栓等连接用材料的进场验收应符合现行国家标准《钢结构工程施工质量验收标准》GB 50205的有关规定；</w:t>
      </w:r>
    </w:p>
    <w:p>
      <w:pPr>
        <w:spacing w:line="300" w:lineRule="auto"/>
        <w:ind w:firstLine="480" w:firstLineChars="200"/>
        <w:rPr>
          <w:rFonts w:cs="Times New Roman"/>
          <w:color w:val="auto"/>
          <w:sz w:val="24"/>
          <w:szCs w:val="24"/>
        </w:rPr>
      </w:pPr>
      <w:r>
        <w:rPr>
          <w:rFonts w:hint="eastAsia" w:cs="Times New Roman"/>
          <w:color w:val="auto"/>
          <w:sz w:val="24"/>
          <w:szCs w:val="24"/>
        </w:rPr>
        <w:t>c）装配式建筑的饰面质量应符合设计要求，并应符合现行国家标准《建筑装饰装修工程质量验收标准》GB 50210的有关规定；</w:t>
      </w:r>
    </w:p>
    <w:p>
      <w:pPr>
        <w:pStyle w:val="4"/>
        <w:spacing w:before="156" w:after="156" w:line="300" w:lineRule="auto"/>
        <w:rPr>
          <w:rFonts w:eastAsia="宋体" w:cs="Times New Roman"/>
          <w:color w:val="auto"/>
          <w:sz w:val="24"/>
          <w:szCs w:val="24"/>
        </w:rPr>
      </w:pPr>
      <w:r>
        <w:rPr>
          <w:rFonts w:hint="eastAsia" w:eastAsia="宋体" w:cs="Times New Roman"/>
          <w:color w:val="auto"/>
          <w:sz w:val="24"/>
          <w:szCs w:val="24"/>
        </w:rPr>
        <w:t>除满足本指南4.8条规定的文件和记录要求外，尚应提供下列文件和记录：</w:t>
      </w:r>
      <w:bookmarkEnd w:id="102"/>
      <w:bookmarkEnd w:id="103"/>
      <w:bookmarkEnd w:id="104"/>
      <w:bookmarkEnd w:id="105"/>
    </w:p>
    <w:p>
      <w:pPr>
        <w:pStyle w:val="45"/>
        <w:numPr>
          <w:ilvl w:val="0"/>
          <w:numId w:val="16"/>
        </w:numPr>
        <w:spacing w:line="300" w:lineRule="auto"/>
        <w:rPr>
          <w:rFonts w:cs="Times New Roman"/>
          <w:color w:val="auto"/>
          <w:sz w:val="24"/>
          <w:szCs w:val="24"/>
        </w:rPr>
      </w:pPr>
      <w:r>
        <w:rPr>
          <w:rFonts w:hint="eastAsia" w:cs="Times New Roman"/>
          <w:color w:val="auto"/>
          <w:sz w:val="24"/>
          <w:szCs w:val="24"/>
        </w:rPr>
        <w:t>经审查批准的装配式建筑设计专篇和施工图设计文件、经原主体设计单位认可的预制构件安装施工图和加工制作详图</w:t>
      </w:r>
      <w:r>
        <w:rPr>
          <w:rFonts w:cs="Times New Roman"/>
          <w:color w:val="auto"/>
          <w:sz w:val="24"/>
          <w:szCs w:val="24"/>
        </w:rPr>
        <w:t>；</w:t>
      </w:r>
    </w:p>
    <w:p>
      <w:pPr>
        <w:pStyle w:val="45"/>
        <w:numPr>
          <w:ilvl w:val="0"/>
          <w:numId w:val="16"/>
        </w:numPr>
        <w:spacing w:line="300" w:lineRule="auto"/>
        <w:rPr>
          <w:rFonts w:cs="Times New Roman"/>
          <w:color w:val="auto"/>
          <w:sz w:val="24"/>
          <w:szCs w:val="24"/>
        </w:rPr>
      </w:pPr>
      <w:r>
        <w:rPr>
          <w:rFonts w:cs="Times New Roman"/>
          <w:color w:val="auto"/>
          <w:sz w:val="24"/>
          <w:szCs w:val="24"/>
        </w:rPr>
        <w:t>预制构件、主要材料（原材料、连接材料及其他材料）及配件的质量证明文件、进场验收记录、抽样复验报告；</w:t>
      </w:r>
    </w:p>
    <w:p>
      <w:pPr>
        <w:pStyle w:val="45"/>
        <w:numPr>
          <w:ilvl w:val="0"/>
          <w:numId w:val="16"/>
        </w:numPr>
        <w:spacing w:line="300" w:lineRule="auto"/>
        <w:rPr>
          <w:rFonts w:cs="Times New Roman"/>
          <w:color w:val="auto"/>
          <w:sz w:val="24"/>
          <w:szCs w:val="24"/>
        </w:rPr>
      </w:pPr>
      <w:r>
        <w:rPr>
          <w:rFonts w:cs="Times New Roman"/>
          <w:color w:val="auto"/>
          <w:sz w:val="24"/>
          <w:szCs w:val="24"/>
        </w:rPr>
        <w:t>预制构件安装施工记录；</w:t>
      </w:r>
    </w:p>
    <w:p>
      <w:pPr>
        <w:pStyle w:val="45"/>
        <w:numPr>
          <w:ilvl w:val="0"/>
          <w:numId w:val="16"/>
        </w:numPr>
        <w:spacing w:line="300" w:lineRule="auto"/>
        <w:rPr>
          <w:rFonts w:cs="Times New Roman"/>
          <w:color w:val="auto"/>
          <w:sz w:val="24"/>
          <w:szCs w:val="24"/>
        </w:rPr>
      </w:pPr>
      <w:r>
        <w:rPr>
          <w:rFonts w:cs="Times New Roman"/>
          <w:color w:val="auto"/>
          <w:sz w:val="24"/>
          <w:szCs w:val="24"/>
        </w:rPr>
        <w:t>根据竖向预制构件不同连接形式，分别提供钢筋套筒灌浆型式检验报告、工艺检验报告和施工检验记录</w:t>
      </w:r>
      <w:r>
        <w:rPr>
          <w:rFonts w:hint="eastAsia" w:cs="Times New Roman"/>
          <w:color w:val="auto"/>
          <w:sz w:val="24"/>
          <w:szCs w:val="24"/>
        </w:rPr>
        <w:t>；</w:t>
      </w:r>
      <w:r>
        <w:rPr>
          <w:rFonts w:cs="Times New Roman"/>
          <w:color w:val="auto"/>
          <w:sz w:val="24"/>
          <w:szCs w:val="24"/>
        </w:rPr>
        <w:t>浆锚搭接连接的施工检验记录</w:t>
      </w:r>
      <w:r>
        <w:rPr>
          <w:rFonts w:hint="eastAsia" w:cs="Times New Roman"/>
          <w:color w:val="auto"/>
          <w:sz w:val="24"/>
          <w:szCs w:val="24"/>
        </w:rPr>
        <w:t>；</w:t>
      </w:r>
      <w:r>
        <w:rPr>
          <w:rFonts w:cs="Times New Roman"/>
          <w:color w:val="auto"/>
          <w:sz w:val="24"/>
          <w:szCs w:val="24"/>
        </w:rPr>
        <w:t>螺栓连接的紧固轴力和扭矩系数报告</w:t>
      </w:r>
      <w:r>
        <w:rPr>
          <w:rFonts w:hint="eastAsia" w:cs="Times New Roman"/>
          <w:color w:val="auto"/>
          <w:sz w:val="24"/>
          <w:szCs w:val="24"/>
        </w:rPr>
        <w:t>；其他</w:t>
      </w:r>
      <w:r>
        <w:rPr>
          <w:rFonts w:cs="Times New Roman"/>
          <w:color w:val="auto"/>
          <w:sz w:val="24"/>
          <w:szCs w:val="24"/>
        </w:rPr>
        <w:t>连接接头（机械连接、焊接）型式检验报告、工艺检验报告和施工检验记录，以及必要的影像资料；</w:t>
      </w:r>
    </w:p>
    <w:p>
      <w:pPr>
        <w:pStyle w:val="45"/>
        <w:numPr>
          <w:ilvl w:val="0"/>
          <w:numId w:val="16"/>
        </w:numPr>
        <w:spacing w:line="300" w:lineRule="auto"/>
        <w:rPr>
          <w:rFonts w:cs="Times New Roman"/>
          <w:color w:val="auto"/>
          <w:sz w:val="24"/>
          <w:szCs w:val="24"/>
        </w:rPr>
      </w:pPr>
      <w:r>
        <w:rPr>
          <w:rFonts w:hint="eastAsia" w:cs="Times New Roman"/>
          <w:color w:val="auto"/>
          <w:sz w:val="24"/>
          <w:szCs w:val="24"/>
        </w:rPr>
        <w:t>根据竖向预制构件不同连接形式，分别提供</w:t>
      </w:r>
      <w:r>
        <w:rPr>
          <w:rFonts w:cs="Times New Roman"/>
          <w:color w:val="auto"/>
          <w:sz w:val="24"/>
          <w:szCs w:val="24"/>
        </w:rPr>
        <w:t>钢筋连接套管灌浆饱满度或叠合剪力墙内部混凝土质量</w:t>
      </w:r>
      <w:r>
        <w:rPr>
          <w:rFonts w:hint="eastAsia" w:cs="Times New Roman"/>
          <w:color w:val="auto"/>
          <w:sz w:val="24"/>
          <w:szCs w:val="24"/>
        </w:rPr>
        <w:t>现场抽测报告</w:t>
      </w:r>
      <w:r>
        <w:rPr>
          <w:rFonts w:cs="Times New Roman"/>
          <w:color w:val="auto"/>
          <w:sz w:val="24"/>
          <w:szCs w:val="24"/>
        </w:rPr>
        <w:t>，以及竖向构件底部接缝</w:t>
      </w:r>
      <w:r>
        <w:rPr>
          <w:rFonts w:hint="eastAsia" w:cs="Times New Roman"/>
          <w:color w:val="auto"/>
          <w:sz w:val="24"/>
          <w:szCs w:val="24"/>
        </w:rPr>
        <w:t>等</w:t>
      </w:r>
      <w:r>
        <w:rPr>
          <w:rFonts w:cs="Times New Roman"/>
          <w:color w:val="auto"/>
          <w:sz w:val="24"/>
          <w:szCs w:val="24"/>
        </w:rPr>
        <w:t>连接节点质量现场抽测报告；</w:t>
      </w:r>
    </w:p>
    <w:p>
      <w:pPr>
        <w:pStyle w:val="45"/>
        <w:numPr>
          <w:ilvl w:val="0"/>
          <w:numId w:val="16"/>
        </w:numPr>
        <w:spacing w:line="300" w:lineRule="auto"/>
        <w:rPr>
          <w:rFonts w:cs="Times New Roman"/>
          <w:color w:val="auto"/>
          <w:sz w:val="24"/>
          <w:szCs w:val="24"/>
        </w:rPr>
      </w:pPr>
      <w:r>
        <w:rPr>
          <w:rFonts w:cs="Times New Roman"/>
          <w:color w:val="auto"/>
          <w:sz w:val="24"/>
          <w:szCs w:val="24"/>
        </w:rPr>
        <w:t>后浇混凝土部位的隐蔽工程检查验收文件；</w:t>
      </w:r>
    </w:p>
    <w:p>
      <w:pPr>
        <w:pStyle w:val="45"/>
        <w:numPr>
          <w:ilvl w:val="2"/>
          <w:numId w:val="17"/>
        </w:numPr>
        <w:spacing w:line="300" w:lineRule="auto"/>
        <w:rPr>
          <w:rFonts w:cs="Times New Roman"/>
          <w:color w:val="auto"/>
          <w:sz w:val="24"/>
          <w:szCs w:val="24"/>
        </w:rPr>
      </w:pPr>
      <w:r>
        <w:rPr>
          <w:rFonts w:hint="eastAsia" w:cs="Times New Roman"/>
          <w:color w:val="auto"/>
          <w:sz w:val="24"/>
          <w:szCs w:val="24"/>
        </w:rPr>
        <w:t>混凝土粗糙面的质量，键槽的尺寸、数量、位置；</w:t>
      </w:r>
    </w:p>
    <w:p>
      <w:pPr>
        <w:pStyle w:val="45"/>
        <w:numPr>
          <w:ilvl w:val="2"/>
          <w:numId w:val="17"/>
        </w:numPr>
        <w:spacing w:line="300" w:lineRule="auto"/>
        <w:rPr>
          <w:rFonts w:cs="Times New Roman"/>
          <w:color w:val="auto"/>
          <w:sz w:val="24"/>
          <w:szCs w:val="24"/>
        </w:rPr>
      </w:pPr>
      <w:r>
        <w:rPr>
          <w:rFonts w:hint="eastAsia" w:cs="Times New Roman"/>
          <w:color w:val="auto"/>
          <w:sz w:val="24"/>
          <w:szCs w:val="24"/>
        </w:rPr>
        <w:t>钢筋的牌号、规格、数量、位置、间距，箍筋弯钩的弯折角度及平直段长度；</w:t>
      </w:r>
    </w:p>
    <w:p>
      <w:pPr>
        <w:pStyle w:val="45"/>
        <w:numPr>
          <w:ilvl w:val="2"/>
          <w:numId w:val="17"/>
        </w:numPr>
        <w:spacing w:line="300" w:lineRule="auto"/>
        <w:rPr>
          <w:rFonts w:cs="Times New Roman"/>
          <w:color w:val="auto"/>
          <w:sz w:val="24"/>
          <w:szCs w:val="24"/>
        </w:rPr>
      </w:pPr>
      <w:r>
        <w:rPr>
          <w:rFonts w:hint="eastAsia" w:cs="Times New Roman"/>
          <w:color w:val="auto"/>
          <w:sz w:val="24"/>
          <w:szCs w:val="24"/>
        </w:rPr>
        <w:t>钢筋的连接方式、接头位置、接头数量、接头面积百分率、搭接长度、锚固方式及锚固长度；</w:t>
      </w:r>
    </w:p>
    <w:p>
      <w:pPr>
        <w:pStyle w:val="45"/>
        <w:numPr>
          <w:ilvl w:val="2"/>
          <w:numId w:val="17"/>
        </w:numPr>
        <w:spacing w:line="300" w:lineRule="auto"/>
        <w:rPr>
          <w:rFonts w:cs="Times New Roman"/>
          <w:color w:val="auto"/>
          <w:sz w:val="24"/>
          <w:szCs w:val="24"/>
        </w:rPr>
      </w:pPr>
      <w:r>
        <w:rPr>
          <w:rFonts w:hint="eastAsia" w:cs="Times New Roman"/>
          <w:color w:val="auto"/>
          <w:sz w:val="24"/>
          <w:szCs w:val="24"/>
        </w:rPr>
        <w:t>预埋件、预留管线的规格、数量、位置；</w:t>
      </w:r>
    </w:p>
    <w:p>
      <w:pPr>
        <w:pStyle w:val="45"/>
        <w:numPr>
          <w:ilvl w:val="2"/>
          <w:numId w:val="17"/>
        </w:numPr>
        <w:spacing w:line="300" w:lineRule="auto"/>
        <w:rPr>
          <w:rFonts w:cs="Times New Roman"/>
          <w:color w:val="auto"/>
          <w:sz w:val="24"/>
          <w:szCs w:val="24"/>
        </w:rPr>
      </w:pPr>
      <w:r>
        <w:rPr>
          <w:rFonts w:hint="eastAsia" w:cs="Times New Roman"/>
          <w:color w:val="auto"/>
          <w:sz w:val="24"/>
          <w:szCs w:val="24"/>
        </w:rPr>
        <w:t>预制构件接缝处防水、防火等构造做法；</w:t>
      </w:r>
    </w:p>
    <w:p>
      <w:pPr>
        <w:pStyle w:val="45"/>
        <w:numPr>
          <w:ilvl w:val="2"/>
          <w:numId w:val="17"/>
        </w:numPr>
        <w:spacing w:line="300" w:lineRule="auto"/>
        <w:rPr>
          <w:rFonts w:cs="Times New Roman"/>
          <w:color w:val="auto"/>
          <w:sz w:val="24"/>
          <w:szCs w:val="24"/>
        </w:rPr>
      </w:pPr>
      <w:r>
        <w:rPr>
          <w:rFonts w:hint="eastAsia" w:cs="Times New Roman"/>
          <w:color w:val="auto"/>
          <w:sz w:val="24"/>
          <w:szCs w:val="24"/>
        </w:rPr>
        <w:t>保温及其节点施工；</w:t>
      </w:r>
    </w:p>
    <w:p>
      <w:pPr>
        <w:pStyle w:val="45"/>
        <w:numPr>
          <w:ilvl w:val="2"/>
          <w:numId w:val="17"/>
        </w:numPr>
        <w:spacing w:line="300" w:lineRule="auto"/>
        <w:rPr>
          <w:rFonts w:cs="Times New Roman"/>
          <w:color w:val="auto"/>
          <w:sz w:val="24"/>
          <w:szCs w:val="24"/>
        </w:rPr>
      </w:pPr>
      <w:r>
        <w:rPr>
          <w:rFonts w:hint="eastAsia" w:cs="Times New Roman"/>
          <w:color w:val="auto"/>
          <w:sz w:val="24"/>
          <w:szCs w:val="24"/>
        </w:rPr>
        <w:t>防雷相关验收；</w:t>
      </w:r>
    </w:p>
    <w:p>
      <w:pPr>
        <w:pStyle w:val="45"/>
        <w:numPr>
          <w:ilvl w:val="2"/>
          <w:numId w:val="17"/>
        </w:numPr>
        <w:spacing w:line="300" w:lineRule="auto"/>
        <w:rPr>
          <w:rFonts w:cs="Times New Roman"/>
          <w:color w:val="auto"/>
          <w:sz w:val="24"/>
          <w:szCs w:val="24"/>
        </w:rPr>
      </w:pPr>
      <w:r>
        <w:rPr>
          <w:rFonts w:hint="eastAsia" w:cs="Times New Roman"/>
          <w:color w:val="auto"/>
          <w:sz w:val="24"/>
          <w:szCs w:val="24"/>
        </w:rPr>
        <w:t>其他隐蔽项目。</w:t>
      </w:r>
    </w:p>
    <w:p>
      <w:pPr>
        <w:pStyle w:val="45"/>
        <w:numPr>
          <w:ilvl w:val="0"/>
          <w:numId w:val="16"/>
        </w:numPr>
        <w:spacing w:line="300" w:lineRule="auto"/>
        <w:rPr>
          <w:rFonts w:cs="Times New Roman"/>
          <w:color w:val="auto"/>
          <w:sz w:val="24"/>
          <w:szCs w:val="24"/>
        </w:rPr>
      </w:pPr>
      <w:r>
        <w:rPr>
          <w:rFonts w:cs="Times New Roman"/>
          <w:color w:val="auto"/>
          <w:sz w:val="24"/>
          <w:szCs w:val="24"/>
        </w:rPr>
        <w:t>根据不同连接形式，分别提供灌浆套筒</w:t>
      </w:r>
      <w:r>
        <w:rPr>
          <w:rFonts w:hint="eastAsia" w:cs="Times New Roman"/>
          <w:color w:val="auto"/>
          <w:sz w:val="24"/>
          <w:szCs w:val="24"/>
        </w:rPr>
        <w:t>平行试件检测报告或其他连接（机械连接、焊接）接头质量检测报告，</w:t>
      </w:r>
      <w:r>
        <w:rPr>
          <w:rFonts w:cs="Times New Roman"/>
          <w:color w:val="auto"/>
          <w:sz w:val="24"/>
          <w:szCs w:val="24"/>
        </w:rPr>
        <w:t>后浇混凝土、灌浆料、座浆料的留置试件的强度检测报告；</w:t>
      </w:r>
    </w:p>
    <w:p>
      <w:pPr>
        <w:pStyle w:val="45"/>
        <w:numPr>
          <w:ilvl w:val="0"/>
          <w:numId w:val="16"/>
        </w:numPr>
        <w:spacing w:line="300" w:lineRule="auto"/>
        <w:rPr>
          <w:rFonts w:cs="Times New Roman"/>
          <w:color w:val="auto"/>
          <w:sz w:val="24"/>
          <w:szCs w:val="24"/>
        </w:rPr>
      </w:pPr>
      <w:r>
        <w:rPr>
          <w:rFonts w:cs="Times New Roman"/>
          <w:color w:val="auto"/>
          <w:sz w:val="24"/>
          <w:szCs w:val="24"/>
        </w:rPr>
        <w:t>外墙防水施工质量检验记录；</w:t>
      </w:r>
    </w:p>
    <w:p>
      <w:pPr>
        <w:pStyle w:val="45"/>
        <w:numPr>
          <w:ilvl w:val="0"/>
          <w:numId w:val="16"/>
        </w:numPr>
        <w:spacing w:line="300" w:lineRule="auto"/>
        <w:rPr>
          <w:rFonts w:cs="Times New Roman"/>
          <w:color w:val="auto"/>
          <w:sz w:val="24"/>
          <w:szCs w:val="24"/>
        </w:rPr>
      </w:pPr>
      <w:r>
        <w:rPr>
          <w:rFonts w:cs="Times New Roman"/>
          <w:color w:val="auto"/>
          <w:sz w:val="24"/>
          <w:szCs w:val="24"/>
        </w:rPr>
        <w:t>混凝土结构实体检验记录；</w:t>
      </w:r>
    </w:p>
    <w:p>
      <w:pPr>
        <w:pStyle w:val="45"/>
        <w:numPr>
          <w:ilvl w:val="0"/>
          <w:numId w:val="16"/>
        </w:numPr>
        <w:spacing w:line="300" w:lineRule="auto"/>
        <w:rPr>
          <w:rFonts w:cs="Times New Roman"/>
          <w:color w:val="auto"/>
          <w:sz w:val="24"/>
          <w:szCs w:val="24"/>
        </w:rPr>
      </w:pPr>
      <w:r>
        <w:rPr>
          <w:rFonts w:cs="Times New Roman"/>
          <w:color w:val="auto"/>
          <w:sz w:val="24"/>
          <w:szCs w:val="24"/>
        </w:rPr>
        <w:t>工程的重大质量问题的处理方案和验收记录；</w:t>
      </w:r>
    </w:p>
    <w:p>
      <w:pPr>
        <w:pStyle w:val="45"/>
        <w:numPr>
          <w:ilvl w:val="0"/>
          <w:numId w:val="16"/>
        </w:numPr>
        <w:spacing w:line="300" w:lineRule="auto"/>
        <w:rPr>
          <w:rFonts w:cs="Times New Roman"/>
          <w:color w:val="auto"/>
          <w:sz w:val="24"/>
          <w:szCs w:val="24"/>
        </w:rPr>
      </w:pPr>
      <w:bookmarkStart w:id="106" w:name="_Toc27288"/>
      <w:bookmarkStart w:id="107" w:name="_Toc21431"/>
      <w:r>
        <w:rPr>
          <w:rFonts w:cs="Times New Roman"/>
          <w:color w:val="auto"/>
          <w:sz w:val="24"/>
          <w:szCs w:val="24"/>
        </w:rPr>
        <w:t>其他文件和记录。</w:t>
      </w:r>
      <w:bookmarkEnd w:id="106"/>
      <w:bookmarkEnd w:id="107"/>
    </w:p>
    <w:p>
      <w:pPr>
        <w:pStyle w:val="4"/>
        <w:spacing w:before="156" w:after="156" w:line="300" w:lineRule="auto"/>
        <w:rPr>
          <w:rFonts w:eastAsia="宋体" w:cs="Times New Roman"/>
          <w:color w:val="auto"/>
          <w:sz w:val="24"/>
          <w:szCs w:val="24"/>
        </w:rPr>
      </w:pPr>
      <w:bookmarkStart w:id="108" w:name="_Toc147570979"/>
      <w:bookmarkStart w:id="109" w:name="_Toc113876884"/>
      <w:bookmarkStart w:id="110" w:name="_Toc147614258"/>
      <w:bookmarkStart w:id="111" w:name="_Toc147572833"/>
      <w:bookmarkStart w:id="112" w:name="_Toc147572772"/>
      <w:bookmarkStart w:id="113" w:name="_Toc147952062"/>
      <w:r>
        <w:rPr>
          <w:rFonts w:eastAsia="宋体" w:cs="Times New Roman"/>
          <w:color w:val="auto"/>
          <w:sz w:val="24"/>
          <w:szCs w:val="24"/>
        </w:rPr>
        <w:t>装配式混凝土结构工程采用新技术或新材料，</w:t>
      </w:r>
      <w:r>
        <w:rPr>
          <w:rFonts w:hint="eastAsia" w:eastAsia="宋体" w:cs="Times New Roman"/>
          <w:color w:val="auto"/>
          <w:sz w:val="24"/>
          <w:szCs w:val="24"/>
        </w:rPr>
        <w:t>应该制定专项的施工方案，并</w:t>
      </w:r>
      <w:r>
        <w:rPr>
          <w:rFonts w:eastAsia="宋体" w:cs="Times New Roman"/>
          <w:color w:val="auto"/>
          <w:sz w:val="24"/>
          <w:szCs w:val="24"/>
        </w:rPr>
        <w:t>按有关规定进行论证，施工方案通过并经核准后方可实施。</w:t>
      </w:r>
      <w:bookmarkEnd w:id="108"/>
      <w:bookmarkEnd w:id="109"/>
      <w:bookmarkEnd w:id="110"/>
      <w:bookmarkEnd w:id="111"/>
      <w:bookmarkEnd w:id="112"/>
      <w:bookmarkEnd w:id="113"/>
    </w:p>
    <w:p>
      <w:pPr>
        <w:pStyle w:val="3"/>
        <w:spacing w:before="312" w:after="312" w:line="300" w:lineRule="auto"/>
        <w:rPr>
          <w:rFonts w:cs="Times New Roman"/>
          <w:color w:val="auto"/>
          <w:sz w:val="24"/>
          <w:szCs w:val="24"/>
        </w:rPr>
      </w:pPr>
      <w:bookmarkStart w:id="114" w:name="_Toc113869333"/>
      <w:bookmarkStart w:id="115" w:name="_Toc147952063"/>
      <w:r>
        <w:rPr>
          <w:rFonts w:cs="Times New Roman"/>
          <w:color w:val="auto"/>
          <w:sz w:val="24"/>
          <w:szCs w:val="24"/>
        </w:rPr>
        <w:t>质量验收</w:t>
      </w:r>
      <w:bookmarkEnd w:id="114"/>
      <w:bookmarkEnd w:id="115"/>
    </w:p>
    <w:p>
      <w:pPr>
        <w:pStyle w:val="4"/>
        <w:spacing w:before="156" w:after="156" w:line="300" w:lineRule="auto"/>
        <w:rPr>
          <w:rFonts w:cs="Times New Roman"/>
          <w:color w:val="auto"/>
          <w:sz w:val="24"/>
          <w:szCs w:val="24"/>
        </w:rPr>
      </w:pPr>
      <w:bookmarkStart w:id="116" w:name="_Toc113869334"/>
      <w:bookmarkStart w:id="117" w:name="_Toc147952064"/>
      <w:r>
        <w:rPr>
          <w:rFonts w:cs="Times New Roman"/>
          <w:color w:val="auto"/>
          <w:sz w:val="24"/>
          <w:szCs w:val="24"/>
        </w:rPr>
        <w:t>现场材料</w:t>
      </w:r>
      <w:bookmarkEnd w:id="116"/>
      <w:bookmarkEnd w:id="117"/>
    </w:p>
    <w:p>
      <w:pPr>
        <w:spacing w:line="300" w:lineRule="auto"/>
        <w:outlineLvl w:val="2"/>
        <w:rPr>
          <w:rFonts w:cs="Times New Roman"/>
          <w:color w:val="auto"/>
          <w:sz w:val="24"/>
          <w:szCs w:val="24"/>
        </w:rPr>
      </w:pPr>
      <w:bookmarkStart w:id="118" w:name="_Toc113869157"/>
      <w:bookmarkStart w:id="119" w:name="_Toc113869335"/>
      <w:bookmarkStart w:id="120" w:name="_Toc4712"/>
      <w:r>
        <w:rPr>
          <w:rFonts w:hint="eastAsia" w:cs="Times New Roman"/>
          <w:color w:val="auto"/>
          <w:sz w:val="24"/>
          <w:szCs w:val="24"/>
        </w:rPr>
        <w:t>5</w:t>
      </w:r>
      <w:r>
        <w:rPr>
          <w:rFonts w:cs="Times New Roman"/>
          <w:color w:val="auto"/>
          <w:sz w:val="24"/>
          <w:szCs w:val="24"/>
        </w:rPr>
        <w:t>.1.1现场原材料</w:t>
      </w:r>
      <w:bookmarkEnd w:id="118"/>
      <w:bookmarkEnd w:id="119"/>
      <w:bookmarkEnd w:id="120"/>
    </w:p>
    <w:p>
      <w:pPr>
        <w:spacing w:line="300" w:lineRule="auto"/>
        <w:ind w:firstLine="480" w:firstLineChars="200"/>
        <w:rPr>
          <w:rFonts w:cs="Times New Roman"/>
          <w:color w:val="auto"/>
          <w:sz w:val="24"/>
          <w:szCs w:val="24"/>
        </w:rPr>
      </w:pPr>
      <w:r>
        <w:rPr>
          <w:rFonts w:hint="eastAsia" w:cs="Times New Roman"/>
          <w:color w:val="auto"/>
          <w:sz w:val="24"/>
          <w:szCs w:val="24"/>
        </w:rPr>
        <w:t>混凝土</w:t>
      </w:r>
      <w:r>
        <w:rPr>
          <w:rFonts w:cs="Times New Roman"/>
          <w:color w:val="auto"/>
          <w:sz w:val="24"/>
          <w:szCs w:val="24"/>
        </w:rPr>
        <w:t>、钢筋及其接头等原材料，以及混凝土配合比和试块的留置的</w:t>
      </w:r>
      <w:r>
        <w:rPr>
          <w:rFonts w:hint="eastAsia" w:cs="Times New Roman"/>
          <w:color w:val="auto"/>
          <w:sz w:val="24"/>
          <w:szCs w:val="24"/>
        </w:rPr>
        <w:t>抽样频率、抽样数量、检测参数、方法同现浇混凝土结构；</w:t>
      </w:r>
      <w:r>
        <w:rPr>
          <w:rFonts w:cs="Times New Roman"/>
          <w:color w:val="auto"/>
          <w:sz w:val="24"/>
          <w:szCs w:val="24"/>
        </w:rPr>
        <w:t>并应符合现行标准《装配式混凝土建筑技术标准》 GB/T 51231和《装配式混凝土结构技术规程》JGJ 1相关要求。</w:t>
      </w:r>
      <w:bookmarkStart w:id="121" w:name="_Toc113869158"/>
      <w:bookmarkStart w:id="122" w:name="_Toc6891"/>
      <w:bookmarkStart w:id="123" w:name="_Toc113869336"/>
    </w:p>
    <w:p>
      <w:pPr>
        <w:spacing w:line="300" w:lineRule="auto"/>
        <w:outlineLvl w:val="2"/>
        <w:rPr>
          <w:rFonts w:cs="Times New Roman"/>
          <w:color w:val="auto"/>
          <w:sz w:val="24"/>
          <w:szCs w:val="24"/>
        </w:rPr>
      </w:pPr>
      <w:r>
        <w:rPr>
          <w:rFonts w:hint="eastAsia" w:cs="Times New Roman"/>
          <w:color w:val="auto"/>
          <w:sz w:val="24"/>
          <w:szCs w:val="24"/>
        </w:rPr>
        <w:t>5</w:t>
      </w:r>
      <w:r>
        <w:rPr>
          <w:rFonts w:cs="Times New Roman"/>
          <w:color w:val="auto"/>
          <w:sz w:val="24"/>
          <w:szCs w:val="24"/>
        </w:rPr>
        <w:t>.1.2现场连接材料</w:t>
      </w:r>
      <w:bookmarkEnd w:id="121"/>
      <w:bookmarkEnd w:id="122"/>
      <w:bookmarkEnd w:id="123"/>
    </w:p>
    <w:p>
      <w:pPr>
        <w:spacing w:line="300" w:lineRule="auto"/>
        <w:ind w:firstLine="480" w:firstLineChars="200"/>
        <w:rPr>
          <w:rFonts w:cs="Times New Roman"/>
          <w:color w:val="auto"/>
          <w:sz w:val="24"/>
          <w:szCs w:val="24"/>
        </w:rPr>
      </w:pPr>
      <w:r>
        <w:rPr>
          <w:rFonts w:cs="Times New Roman"/>
          <w:color w:val="auto"/>
          <w:sz w:val="24"/>
          <w:szCs w:val="24"/>
        </w:rPr>
        <w:t>a）钢筋套筒灌浆连接接头采用的套筒应符合现行行业标准《钢筋连接用灌浆套筒》JG/T 398的规定；采用的灌浆料应符合现行行业标准《钢筋连接用套筒灌浆料》JG/T 408的规定；接头性能应符合《钢筋套筒灌浆连接应用技术规程》JGJ 355的规定。</w:t>
      </w:r>
    </w:p>
    <w:p>
      <w:pPr>
        <w:spacing w:line="300" w:lineRule="auto"/>
        <w:ind w:firstLine="480" w:firstLineChars="200"/>
        <w:rPr>
          <w:rFonts w:cs="Times New Roman"/>
          <w:color w:val="auto"/>
          <w:sz w:val="24"/>
          <w:szCs w:val="24"/>
        </w:rPr>
      </w:pPr>
      <w:r>
        <w:rPr>
          <w:rFonts w:cs="Times New Roman"/>
          <w:color w:val="auto"/>
          <w:sz w:val="24"/>
          <w:szCs w:val="24"/>
        </w:rPr>
        <w:t>b）钢筋浆锚搭接连接接头采用的镀锌金属波纹管应符合现行行业标准《预应力混凝土金属波纹管》JG/T 225  的规定；采用的水泥基灌浆料应符合现行行业标准《装配式混凝土结构技术规程》JGJ 1 的规定。</w:t>
      </w:r>
    </w:p>
    <w:p>
      <w:pPr>
        <w:spacing w:line="300" w:lineRule="auto"/>
        <w:ind w:firstLine="480" w:firstLineChars="200"/>
        <w:rPr>
          <w:rFonts w:cs="Times New Roman"/>
          <w:color w:val="auto"/>
          <w:sz w:val="24"/>
          <w:szCs w:val="24"/>
        </w:rPr>
      </w:pPr>
      <w:r>
        <w:rPr>
          <w:rFonts w:hint="eastAsia" w:cs="Times New Roman"/>
          <w:color w:val="auto"/>
          <w:sz w:val="24"/>
          <w:szCs w:val="24"/>
        </w:rPr>
        <w:t>c</w:t>
      </w:r>
      <w:r>
        <w:rPr>
          <w:rFonts w:cs="Times New Roman"/>
          <w:color w:val="auto"/>
          <w:sz w:val="24"/>
          <w:szCs w:val="24"/>
        </w:rPr>
        <w:t>）钢筋锚固板材料、受力预埋件的锚板及锚筋材料、专用预埋件及连接件材料及连接用焊接材料，螺栓、锚栓和铆钉等紧固件材料，应符合国家现行有关标准的规定和设计要求。</w:t>
      </w:r>
    </w:p>
    <w:p>
      <w:pPr>
        <w:pStyle w:val="2"/>
        <w:spacing w:line="300" w:lineRule="auto"/>
        <w:rPr>
          <w:color w:val="auto"/>
        </w:rPr>
      </w:pPr>
      <w:r>
        <w:rPr>
          <w:rFonts w:hint="eastAsia" w:cs="Times New Roman"/>
          <w:color w:val="auto"/>
          <w:sz w:val="24"/>
          <w:szCs w:val="24"/>
        </w:rPr>
        <w:t>具体抽样频率、检测参数、检测方法见附录B。</w:t>
      </w:r>
    </w:p>
    <w:p>
      <w:pPr>
        <w:spacing w:line="300" w:lineRule="auto"/>
        <w:outlineLvl w:val="2"/>
        <w:rPr>
          <w:rFonts w:cs="Times New Roman"/>
          <w:color w:val="auto"/>
          <w:sz w:val="24"/>
          <w:szCs w:val="24"/>
        </w:rPr>
      </w:pPr>
      <w:bookmarkStart w:id="124" w:name="_Toc113869159"/>
      <w:bookmarkStart w:id="125" w:name="_Toc27121"/>
      <w:bookmarkStart w:id="126" w:name="_Toc113869337"/>
      <w:r>
        <w:rPr>
          <w:rFonts w:hint="eastAsia" w:cs="Times New Roman"/>
          <w:color w:val="auto"/>
          <w:sz w:val="24"/>
          <w:szCs w:val="24"/>
        </w:rPr>
        <w:t>5</w:t>
      </w:r>
      <w:r>
        <w:rPr>
          <w:rFonts w:cs="Times New Roman"/>
          <w:color w:val="auto"/>
          <w:sz w:val="24"/>
          <w:szCs w:val="24"/>
        </w:rPr>
        <w:t>.1.3现场其他材料</w:t>
      </w:r>
      <w:bookmarkEnd w:id="124"/>
      <w:bookmarkEnd w:id="125"/>
      <w:bookmarkEnd w:id="126"/>
    </w:p>
    <w:p>
      <w:pPr>
        <w:spacing w:line="300" w:lineRule="auto"/>
        <w:ind w:firstLine="480" w:firstLineChars="200"/>
        <w:rPr>
          <w:rFonts w:cs="Times New Roman"/>
          <w:color w:val="auto"/>
          <w:sz w:val="24"/>
          <w:szCs w:val="24"/>
        </w:rPr>
      </w:pPr>
      <w:r>
        <w:rPr>
          <w:rFonts w:cs="Times New Roman"/>
          <w:color w:val="auto"/>
          <w:sz w:val="24"/>
          <w:szCs w:val="24"/>
        </w:rPr>
        <w:t>a）后浇混凝土部位施工采用的混凝土的力学性能指标和耐久性要求等应符合国家现行有关标准的规定和设计要求。</w:t>
      </w:r>
    </w:p>
    <w:p>
      <w:pPr>
        <w:spacing w:line="300" w:lineRule="auto"/>
        <w:ind w:firstLine="480" w:firstLineChars="200"/>
        <w:rPr>
          <w:rFonts w:cs="Times New Roman"/>
          <w:color w:val="auto"/>
          <w:sz w:val="24"/>
          <w:szCs w:val="24"/>
        </w:rPr>
      </w:pPr>
      <w:r>
        <w:rPr>
          <w:rFonts w:cs="Times New Roman"/>
          <w:color w:val="auto"/>
          <w:sz w:val="24"/>
          <w:szCs w:val="24"/>
        </w:rPr>
        <w:t>b）后浇混凝土强度等级应符合设计要求，不低于所连接的预制构件混凝土强度等级，且不应低于C25，混凝土粗骨料最大粒径不宜大于后浇混凝土部位最小尺寸的1/4。</w:t>
      </w:r>
    </w:p>
    <w:p>
      <w:pPr>
        <w:spacing w:line="300" w:lineRule="auto"/>
        <w:ind w:firstLine="480" w:firstLineChars="200"/>
        <w:rPr>
          <w:rFonts w:cs="Times New Roman"/>
          <w:color w:val="auto"/>
          <w:sz w:val="24"/>
          <w:szCs w:val="24"/>
        </w:rPr>
      </w:pPr>
      <w:r>
        <w:rPr>
          <w:rFonts w:cs="Times New Roman"/>
          <w:color w:val="auto"/>
          <w:sz w:val="24"/>
          <w:szCs w:val="24"/>
        </w:rPr>
        <w:t>c）预制构件的预埋吊件的材料应符合国家现行有关标准的规定。预制构件的吊环应采用未经冷加工的HPB300级钢筋制作。</w:t>
      </w:r>
    </w:p>
    <w:p>
      <w:pPr>
        <w:spacing w:line="300" w:lineRule="auto"/>
        <w:ind w:firstLine="480" w:firstLineChars="200"/>
        <w:rPr>
          <w:rFonts w:cs="Times New Roman"/>
          <w:color w:val="auto"/>
          <w:sz w:val="24"/>
          <w:szCs w:val="24"/>
        </w:rPr>
      </w:pPr>
      <w:r>
        <w:rPr>
          <w:rFonts w:cs="Times New Roman"/>
          <w:color w:val="auto"/>
          <w:sz w:val="24"/>
          <w:szCs w:val="24"/>
        </w:rPr>
        <w:t>d）外墙板接缝处的密封材料、保温材料及装饰装修材料应符合现行行业标准《装配式混凝土结构技术规程》</w:t>
      </w:r>
      <w:r>
        <w:rPr>
          <w:rFonts w:hint="eastAsia" w:cs="Times New Roman"/>
          <w:color w:val="auto"/>
          <w:sz w:val="24"/>
          <w:szCs w:val="24"/>
        </w:rPr>
        <w:t>JGJ 1等</w:t>
      </w:r>
      <w:r>
        <w:rPr>
          <w:rFonts w:cs="Times New Roman"/>
          <w:color w:val="auto"/>
          <w:sz w:val="24"/>
          <w:szCs w:val="24"/>
        </w:rPr>
        <w:t>的规定。</w:t>
      </w:r>
    </w:p>
    <w:p>
      <w:pPr>
        <w:spacing w:line="300" w:lineRule="auto"/>
        <w:ind w:firstLine="480" w:firstLineChars="200"/>
        <w:rPr>
          <w:rFonts w:cs="Times New Roman"/>
          <w:color w:val="auto"/>
          <w:sz w:val="24"/>
          <w:szCs w:val="24"/>
        </w:rPr>
      </w:pPr>
      <w:r>
        <w:rPr>
          <w:rFonts w:cs="Times New Roman"/>
          <w:color w:val="auto"/>
          <w:sz w:val="24"/>
          <w:szCs w:val="24"/>
        </w:rPr>
        <w:t>e）后浇混凝土部位的模板及支架宜选用</w:t>
      </w:r>
      <w:r>
        <w:rPr>
          <w:rFonts w:hint="eastAsia" w:cs="Times New Roman"/>
          <w:color w:val="auto"/>
          <w:sz w:val="24"/>
          <w:szCs w:val="24"/>
        </w:rPr>
        <w:t>铝模模板和盘扣式脚手架</w:t>
      </w:r>
      <w:r>
        <w:rPr>
          <w:rFonts w:cs="Times New Roman"/>
          <w:color w:val="auto"/>
          <w:sz w:val="24"/>
          <w:szCs w:val="24"/>
        </w:rPr>
        <w:t>，选用材料的技术指标应符合国家现行有关标准的规定，连接件宜选用标准定型产品。</w:t>
      </w:r>
    </w:p>
    <w:p>
      <w:pPr>
        <w:pStyle w:val="2"/>
        <w:ind w:firstLine="420"/>
        <w:rPr>
          <w:color w:val="auto"/>
        </w:rPr>
      </w:pPr>
      <w:r>
        <w:rPr>
          <w:rFonts w:hint="eastAsia" w:cs="Times New Roman"/>
          <w:color w:val="auto"/>
          <w:sz w:val="24"/>
          <w:szCs w:val="24"/>
        </w:rPr>
        <w:t>具体抽样频率、检测参数、检测方法见附录B。</w:t>
      </w:r>
    </w:p>
    <w:p>
      <w:pPr>
        <w:pStyle w:val="4"/>
        <w:spacing w:before="156" w:after="156" w:line="300" w:lineRule="auto"/>
        <w:rPr>
          <w:rFonts w:cs="Times New Roman"/>
          <w:color w:val="auto"/>
          <w:sz w:val="24"/>
          <w:szCs w:val="24"/>
        </w:rPr>
      </w:pPr>
      <w:bookmarkStart w:id="127" w:name="_Toc113869338"/>
      <w:bookmarkStart w:id="128" w:name="_Toc147952065"/>
      <w:r>
        <w:rPr>
          <w:rFonts w:cs="Times New Roman"/>
          <w:color w:val="auto"/>
          <w:sz w:val="24"/>
          <w:szCs w:val="24"/>
        </w:rPr>
        <w:t>预制构件</w:t>
      </w:r>
      <w:bookmarkEnd w:id="127"/>
      <w:bookmarkEnd w:id="128"/>
    </w:p>
    <w:p>
      <w:pPr>
        <w:spacing w:line="300" w:lineRule="auto"/>
        <w:outlineLvl w:val="2"/>
        <w:rPr>
          <w:rFonts w:cs="Times New Roman"/>
          <w:color w:val="auto"/>
          <w:sz w:val="24"/>
          <w:szCs w:val="24"/>
        </w:rPr>
      </w:pPr>
      <w:bookmarkStart w:id="129" w:name="_Toc113869161"/>
      <w:bookmarkStart w:id="130" w:name="_Toc5381"/>
      <w:bookmarkStart w:id="131" w:name="_Toc113869339"/>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1驻厂监造材料</w:t>
      </w:r>
    </w:p>
    <w:p>
      <w:pPr>
        <w:spacing w:line="300" w:lineRule="auto"/>
        <w:ind w:firstLine="480" w:firstLineChars="200"/>
        <w:rPr>
          <w:rFonts w:cs="Times New Roman"/>
          <w:color w:val="auto"/>
          <w:sz w:val="24"/>
          <w:szCs w:val="24"/>
        </w:rPr>
      </w:pPr>
      <w:r>
        <w:rPr>
          <w:rFonts w:hint="eastAsia" w:cs="Times New Roman"/>
          <w:color w:val="auto"/>
          <w:sz w:val="24"/>
          <w:szCs w:val="24"/>
        </w:rPr>
        <w:t>预制构件生产过程中的钢筋混凝土及其组成材料（钢筋、水泥、砂石、外加剂、外掺料等）、预制构件集成部品部件检测（保温板、线管、窗等），应在驻厂监造的情况下送检第三方机构完成检验，相关检验信息与待使用的工程项目关联。检测频率、检测参数和检测方法见附录C。</w:t>
      </w:r>
    </w:p>
    <w:p>
      <w:pPr>
        <w:spacing w:line="300" w:lineRule="auto"/>
        <w:outlineLvl w:val="2"/>
        <w:rPr>
          <w:rFonts w:cs="Times New Roman"/>
          <w:color w:val="auto"/>
          <w:sz w:val="24"/>
          <w:szCs w:val="24"/>
        </w:rPr>
      </w:pPr>
      <w:r>
        <w:rPr>
          <w:rFonts w:hint="eastAsia" w:cs="Times New Roman"/>
          <w:color w:val="auto"/>
          <w:sz w:val="24"/>
          <w:szCs w:val="24"/>
        </w:rPr>
        <w:t>5.2.2构件</w:t>
      </w:r>
      <w:r>
        <w:rPr>
          <w:rFonts w:cs="Times New Roman"/>
          <w:color w:val="auto"/>
          <w:sz w:val="24"/>
          <w:szCs w:val="24"/>
        </w:rPr>
        <w:t>型式检验</w:t>
      </w:r>
      <w:bookmarkEnd w:id="129"/>
      <w:bookmarkEnd w:id="130"/>
      <w:bookmarkEnd w:id="131"/>
    </w:p>
    <w:p>
      <w:pPr>
        <w:spacing w:line="300" w:lineRule="auto"/>
        <w:ind w:firstLine="480" w:firstLineChars="200"/>
        <w:rPr>
          <w:rFonts w:cs="Times New Roman"/>
          <w:color w:val="auto"/>
          <w:sz w:val="24"/>
          <w:szCs w:val="24"/>
        </w:rPr>
      </w:pPr>
      <w:r>
        <w:rPr>
          <w:rFonts w:cs="Times New Roman"/>
          <w:color w:val="auto"/>
          <w:sz w:val="24"/>
          <w:szCs w:val="24"/>
        </w:rPr>
        <w:t>型式检验报告的内容应包括混凝土强度、外观质量、外形几何尺寸、耐久性能、耐火性能、钢筋保护层厚度等</w:t>
      </w:r>
      <w:r>
        <w:rPr>
          <w:rFonts w:hint="eastAsia" w:cs="Times New Roman"/>
          <w:color w:val="auto"/>
          <w:sz w:val="24"/>
          <w:szCs w:val="24"/>
        </w:rPr>
        <w:t>，涉及装配式构配件含装配式剪力墙、叠合板、预制楼梯、预制阳台、预制空调板等</w:t>
      </w:r>
      <w:r>
        <w:rPr>
          <w:rFonts w:cs="Times New Roman"/>
          <w:color w:val="auto"/>
          <w:sz w:val="24"/>
          <w:szCs w:val="24"/>
        </w:rPr>
        <w:t>；对涉及结构安全的构件应进行承载力等结构性能检验；对外墙、屋面等有防水防渗要求的构件应进行抗渗性能检验；对有保温隔热等要求的构件应进行保温隔热性能等检验。</w:t>
      </w:r>
    </w:p>
    <w:p>
      <w:pPr>
        <w:spacing w:line="300" w:lineRule="auto"/>
        <w:ind w:firstLine="480" w:firstLineChars="200"/>
        <w:rPr>
          <w:rFonts w:cs="Times New Roman"/>
          <w:color w:val="auto"/>
          <w:sz w:val="24"/>
          <w:szCs w:val="24"/>
        </w:rPr>
      </w:pPr>
      <w:r>
        <w:rPr>
          <w:rFonts w:cs="Times New Roman"/>
          <w:color w:val="auto"/>
          <w:sz w:val="24"/>
          <w:szCs w:val="24"/>
        </w:rPr>
        <w:t>型式检验由生产厂家委托具有资质的单位完成，</w:t>
      </w:r>
      <w:r>
        <w:rPr>
          <w:rFonts w:hint="eastAsia" w:cs="Times New Roman"/>
          <w:color w:val="auto"/>
          <w:sz w:val="24"/>
          <w:szCs w:val="24"/>
        </w:rPr>
        <w:t>型检报告有效期内对所有施工项目均具备效力</w:t>
      </w:r>
      <w:r>
        <w:rPr>
          <w:rFonts w:cs="Times New Roman"/>
          <w:color w:val="auto"/>
          <w:sz w:val="24"/>
          <w:szCs w:val="24"/>
        </w:rPr>
        <w:t>。不同混凝土强度、规格、材料、工艺的预制构件每年检测一次，样品要求依据试验方法标准，并应符合现行标准《装配式混凝土建筑技术标准》 GB/T 51231、《装配式混凝土结构技术规程》JGJ 1和《混凝土结构工程施工质量验收规范》GB 50204</w:t>
      </w:r>
      <w:r>
        <w:rPr>
          <w:rFonts w:hint="eastAsia" w:cs="Times New Roman"/>
          <w:color w:val="auto"/>
          <w:sz w:val="24"/>
          <w:szCs w:val="24"/>
        </w:rPr>
        <w:t>等</w:t>
      </w:r>
      <w:r>
        <w:rPr>
          <w:rFonts w:cs="Times New Roman"/>
          <w:color w:val="auto"/>
          <w:sz w:val="24"/>
          <w:szCs w:val="24"/>
        </w:rPr>
        <w:t>相关要求。</w:t>
      </w:r>
      <w:r>
        <w:rPr>
          <w:rFonts w:hint="eastAsia" w:cs="Times New Roman"/>
          <w:color w:val="auto"/>
          <w:sz w:val="24"/>
          <w:szCs w:val="24"/>
        </w:rPr>
        <w:t>检测频率、检测参数和检测方法见附录C。</w:t>
      </w:r>
    </w:p>
    <w:p>
      <w:pPr>
        <w:spacing w:line="300" w:lineRule="auto"/>
        <w:outlineLvl w:val="2"/>
        <w:rPr>
          <w:rFonts w:cs="Times New Roman"/>
          <w:color w:val="auto"/>
          <w:sz w:val="24"/>
          <w:szCs w:val="24"/>
        </w:rPr>
      </w:pPr>
      <w:bookmarkStart w:id="132" w:name="_Toc113869162"/>
      <w:bookmarkStart w:id="133" w:name="_Toc21112"/>
      <w:bookmarkStart w:id="134" w:name="_Toc113869340"/>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3构件</w:t>
      </w:r>
      <w:r>
        <w:rPr>
          <w:rFonts w:cs="Times New Roman"/>
          <w:color w:val="auto"/>
          <w:sz w:val="24"/>
          <w:szCs w:val="24"/>
        </w:rPr>
        <w:t>出厂检验</w:t>
      </w:r>
      <w:bookmarkEnd w:id="132"/>
      <w:bookmarkEnd w:id="133"/>
      <w:bookmarkEnd w:id="134"/>
    </w:p>
    <w:p>
      <w:pPr>
        <w:spacing w:line="300" w:lineRule="auto"/>
        <w:ind w:firstLine="420"/>
        <w:rPr>
          <w:rFonts w:cs="Times New Roman"/>
          <w:color w:val="auto"/>
          <w:sz w:val="24"/>
          <w:szCs w:val="24"/>
        </w:rPr>
      </w:pPr>
      <w:r>
        <w:rPr>
          <w:rFonts w:cs="Times New Roman"/>
          <w:color w:val="auto"/>
          <w:sz w:val="24"/>
          <w:szCs w:val="24"/>
        </w:rPr>
        <w:t>混凝土强度、外观质量、外形尺寸、预埋件、钢筋位置安装偏差等检验，按试验方法标准确定样品要求，并应符合《湖北省装配式建筑施工质量安全监管要点（试行）》鄂建办〔2018〕335号</w:t>
      </w:r>
      <w:r>
        <w:rPr>
          <w:rFonts w:hint="eastAsia" w:cs="Times New Roman"/>
          <w:color w:val="auto"/>
          <w:sz w:val="24"/>
          <w:szCs w:val="24"/>
        </w:rPr>
        <w:t>、</w:t>
      </w:r>
      <w:r>
        <w:rPr>
          <w:rFonts w:cs="Times New Roman"/>
          <w:color w:val="auto"/>
          <w:sz w:val="24"/>
          <w:szCs w:val="24"/>
        </w:rPr>
        <w:t>《装配式混凝土建筑技术标准》 GB/T 51231和《混凝土结构工程施工质量验收规范》GB 50204等的相关要求。</w:t>
      </w:r>
      <w:r>
        <w:rPr>
          <w:rFonts w:hint="eastAsia" w:cs="Times New Roman"/>
          <w:color w:val="auto"/>
          <w:sz w:val="24"/>
          <w:szCs w:val="24"/>
        </w:rPr>
        <w:t>预制构件出厂检验由生产厂家专职质检人员等组织实施。检测频率、检测参数和检测方法见附录C。</w:t>
      </w:r>
    </w:p>
    <w:p>
      <w:pPr>
        <w:spacing w:line="300" w:lineRule="auto"/>
        <w:ind w:firstLine="420"/>
        <w:rPr>
          <w:rFonts w:cs="Times New Roman"/>
          <w:color w:val="auto"/>
          <w:sz w:val="24"/>
          <w:szCs w:val="24"/>
        </w:rPr>
      </w:pPr>
      <w:r>
        <w:rPr>
          <w:rFonts w:hint="eastAsia" w:cs="Times New Roman"/>
          <w:color w:val="auto"/>
          <w:sz w:val="24"/>
          <w:szCs w:val="24"/>
        </w:rPr>
        <w:t>预制构件生产企业应通过统一的信息系统制作带有唯一性识别码的芯片或二维码，出厂构件采用预埋芯片或粘贴二维码进行标识，芯片或二维码信息内容应包含工程名称、构件名称、构件编号、规格型号、生产企业、执行标准、生产日期、出厂日期、检验结论、生产负责人、质检员、驻厂监造员等。检验不合格、标识不全的构件不得出厂。</w:t>
      </w:r>
    </w:p>
    <w:p>
      <w:pPr>
        <w:spacing w:line="300" w:lineRule="auto"/>
        <w:outlineLvl w:val="2"/>
        <w:rPr>
          <w:rFonts w:cs="Times New Roman"/>
          <w:color w:val="auto"/>
          <w:sz w:val="24"/>
          <w:szCs w:val="24"/>
        </w:rPr>
      </w:pPr>
      <w:bookmarkStart w:id="135" w:name="_Toc113869341"/>
      <w:bookmarkStart w:id="136" w:name="_Toc24155"/>
      <w:bookmarkStart w:id="137" w:name="_Toc113869163"/>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4构件</w:t>
      </w:r>
      <w:r>
        <w:rPr>
          <w:rFonts w:cs="Times New Roman"/>
          <w:color w:val="auto"/>
          <w:sz w:val="24"/>
          <w:szCs w:val="24"/>
        </w:rPr>
        <w:t>进场验收</w:t>
      </w:r>
      <w:bookmarkEnd w:id="135"/>
      <w:bookmarkEnd w:id="136"/>
      <w:bookmarkEnd w:id="137"/>
    </w:p>
    <w:p>
      <w:pPr>
        <w:spacing w:line="300" w:lineRule="auto"/>
        <w:jc w:val="center"/>
        <w:rPr>
          <w:rFonts w:cs="Times New Roman"/>
          <w:color w:val="auto"/>
          <w:sz w:val="24"/>
          <w:szCs w:val="24"/>
        </w:rPr>
      </w:pPr>
      <w:r>
        <w:rPr>
          <w:rFonts w:cs="Times New Roman"/>
          <w:color w:val="auto"/>
          <w:sz w:val="24"/>
          <w:szCs w:val="24"/>
        </w:rPr>
        <w:t>（Ⅰ）主控项目</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.1预制构件的质量应符合本规程、国家现行有关标准的规定和设计要求。</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检验方法：检查质量证明文件或质量验收记录。</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.2专业企业生产的预制构件进场时，预制构件结构性能检验应符合下列规定：</w:t>
      </w:r>
    </w:p>
    <w:p>
      <w:pPr>
        <w:spacing w:line="300" w:lineRule="auto"/>
        <w:ind w:firstLine="480" w:firstLineChars="200"/>
        <w:rPr>
          <w:rFonts w:cs="Times New Roman"/>
          <w:color w:val="auto"/>
          <w:sz w:val="24"/>
          <w:szCs w:val="24"/>
        </w:rPr>
      </w:pPr>
      <w:r>
        <w:rPr>
          <w:rFonts w:cs="Times New Roman"/>
          <w:color w:val="auto"/>
          <w:sz w:val="24"/>
          <w:szCs w:val="24"/>
        </w:rPr>
        <w:t>a）梁板类</w:t>
      </w:r>
      <w:r>
        <w:rPr>
          <w:rFonts w:hint="eastAsia" w:cs="Times New Roman"/>
          <w:color w:val="auto"/>
          <w:sz w:val="24"/>
          <w:szCs w:val="24"/>
        </w:rPr>
        <w:t>非叠合</w:t>
      </w:r>
      <w:r>
        <w:rPr>
          <w:rFonts w:cs="Times New Roman"/>
          <w:color w:val="auto"/>
          <w:sz w:val="24"/>
          <w:szCs w:val="24"/>
        </w:rPr>
        <w:t>简支受弯标准全预制构件进场时应进行结构性能检验，并应符合下列规定：</w:t>
      </w:r>
    </w:p>
    <w:p>
      <w:pPr>
        <w:spacing w:line="300" w:lineRule="auto"/>
        <w:ind w:firstLine="480" w:firstLineChars="200"/>
        <w:rPr>
          <w:rFonts w:cs="Times New Roman"/>
          <w:color w:val="auto"/>
          <w:sz w:val="24"/>
          <w:szCs w:val="24"/>
        </w:rPr>
      </w:pPr>
      <w:r>
        <w:rPr>
          <w:rFonts w:cs="Times New Roman"/>
          <w:color w:val="auto"/>
          <w:sz w:val="24"/>
          <w:szCs w:val="24"/>
        </w:rPr>
        <w:t>——结构性能检验应符合国家现行有关标准的有关规定及设计的要求，检验要求和试验方法应符合《混凝土结构工程施工质量验收规范》GB 50204附录B的规定。</w:t>
      </w:r>
    </w:p>
    <w:p>
      <w:pPr>
        <w:spacing w:line="300" w:lineRule="auto"/>
        <w:ind w:firstLine="480" w:firstLineChars="200"/>
        <w:rPr>
          <w:rFonts w:cs="Times New Roman"/>
          <w:color w:val="auto"/>
          <w:sz w:val="24"/>
          <w:szCs w:val="24"/>
        </w:rPr>
      </w:pPr>
      <w:r>
        <w:rPr>
          <w:rFonts w:cs="Times New Roman"/>
          <w:color w:val="auto"/>
          <w:sz w:val="24"/>
          <w:szCs w:val="24"/>
        </w:rPr>
        <w:t>——钢筋混凝土构件和允许出现裂缝的预应力混凝土构件应进行承载力、挠度和裂缝宽度检验；不允许出现裂缝的预应力混凝土构件应进行承载力、挠度和抗裂检验。</w:t>
      </w:r>
    </w:p>
    <w:p>
      <w:pPr>
        <w:spacing w:line="300" w:lineRule="auto"/>
        <w:ind w:firstLine="480" w:firstLineChars="200"/>
        <w:rPr>
          <w:rFonts w:cs="Times New Roman"/>
          <w:color w:val="auto"/>
          <w:sz w:val="24"/>
          <w:szCs w:val="24"/>
        </w:rPr>
      </w:pPr>
      <w:r>
        <w:rPr>
          <w:rFonts w:cs="Times New Roman"/>
          <w:color w:val="auto"/>
          <w:sz w:val="24"/>
          <w:szCs w:val="24"/>
        </w:rPr>
        <w:t>——对大型构件及有可靠应用</w:t>
      </w:r>
      <w:r>
        <w:rPr>
          <w:rFonts w:hint="eastAsia" w:cs="Times New Roman"/>
          <w:color w:val="auto"/>
          <w:sz w:val="24"/>
          <w:szCs w:val="24"/>
        </w:rPr>
        <w:t>经验</w:t>
      </w:r>
      <w:r>
        <w:rPr>
          <w:rFonts w:cs="Times New Roman"/>
          <w:color w:val="auto"/>
          <w:sz w:val="24"/>
          <w:szCs w:val="24"/>
        </w:rPr>
        <w:t>的构件，可只进行裂缝宽度、抗裂和挠度检验。</w:t>
      </w:r>
    </w:p>
    <w:p>
      <w:pPr>
        <w:spacing w:line="300" w:lineRule="auto"/>
        <w:ind w:firstLine="480" w:firstLineChars="200"/>
        <w:rPr>
          <w:rFonts w:cs="Times New Roman"/>
          <w:color w:val="auto"/>
          <w:sz w:val="24"/>
          <w:szCs w:val="24"/>
        </w:rPr>
      </w:pPr>
      <w:r>
        <w:rPr>
          <w:rFonts w:cs="Times New Roman"/>
          <w:color w:val="auto"/>
          <w:sz w:val="24"/>
          <w:szCs w:val="24"/>
        </w:rPr>
        <w:t>——对使用数量较少</w:t>
      </w:r>
      <w:r>
        <w:rPr>
          <w:rFonts w:hint="eastAsia" w:cs="Times New Roman"/>
          <w:color w:val="auto"/>
          <w:sz w:val="24"/>
          <w:szCs w:val="24"/>
        </w:rPr>
        <w:t>（不超过50个）</w:t>
      </w:r>
      <w:r>
        <w:rPr>
          <w:rFonts w:cs="Times New Roman"/>
          <w:color w:val="auto"/>
          <w:sz w:val="24"/>
          <w:szCs w:val="24"/>
        </w:rPr>
        <w:t>的构件，当能提供可靠依据时，可不进行结构性能检验。</w:t>
      </w:r>
    </w:p>
    <w:p>
      <w:pPr>
        <w:spacing w:line="300" w:lineRule="auto"/>
        <w:ind w:firstLine="480" w:firstLineChars="200"/>
        <w:rPr>
          <w:rFonts w:cs="Times New Roman"/>
          <w:color w:val="auto"/>
          <w:sz w:val="24"/>
          <w:szCs w:val="24"/>
        </w:rPr>
      </w:pPr>
      <w:r>
        <w:rPr>
          <w:rFonts w:cs="Times New Roman"/>
          <w:color w:val="auto"/>
          <w:sz w:val="24"/>
          <w:szCs w:val="24"/>
        </w:rPr>
        <w:t>——</w:t>
      </w:r>
      <w:r>
        <w:rPr>
          <w:rFonts w:hint="eastAsia" w:cs="Times New Roman"/>
          <w:color w:val="auto"/>
          <w:sz w:val="24"/>
          <w:szCs w:val="24"/>
        </w:rPr>
        <w:t>对多个工程共同使用的同类型预制构件，结构性能检测可共同委托，其结果对多个工程共同有效。</w:t>
      </w:r>
    </w:p>
    <w:p>
      <w:pPr>
        <w:spacing w:line="300" w:lineRule="auto"/>
        <w:ind w:firstLine="480" w:firstLineChars="200"/>
        <w:rPr>
          <w:rFonts w:cs="Times New Roman"/>
          <w:color w:val="auto"/>
          <w:sz w:val="24"/>
          <w:szCs w:val="24"/>
        </w:rPr>
      </w:pPr>
      <w:r>
        <w:rPr>
          <w:rFonts w:cs="Times New Roman"/>
          <w:color w:val="auto"/>
          <w:sz w:val="24"/>
          <w:szCs w:val="24"/>
        </w:rPr>
        <w:t>b）对</w:t>
      </w:r>
      <w:r>
        <w:rPr>
          <w:rFonts w:hint="eastAsia" w:cs="Times New Roman"/>
          <w:color w:val="auto"/>
          <w:sz w:val="24"/>
          <w:szCs w:val="24"/>
        </w:rPr>
        <w:t>于不单独使用的叠合板预制底板</w:t>
      </w:r>
      <w:r>
        <w:rPr>
          <w:rFonts w:cs="Times New Roman"/>
          <w:color w:val="auto"/>
          <w:sz w:val="24"/>
          <w:szCs w:val="24"/>
        </w:rPr>
        <w:t>，</w:t>
      </w:r>
      <w:r>
        <w:rPr>
          <w:rFonts w:hint="eastAsia" w:cs="Times New Roman"/>
          <w:color w:val="auto"/>
          <w:sz w:val="24"/>
          <w:szCs w:val="24"/>
        </w:rPr>
        <w:t>可不进行结构性能检验。对叠合梁构件，是否进行结构性能检验、结构性能检验的方式应根据设计要求确定</w:t>
      </w:r>
      <w:r>
        <w:rPr>
          <w:rFonts w:cs="Times New Roman"/>
          <w:color w:val="auto"/>
          <w:sz w:val="24"/>
          <w:szCs w:val="24"/>
        </w:rPr>
        <w:t>。对其他预制构件，除设计有专门要求外，进场时可不做结构性能检验。</w:t>
      </w:r>
    </w:p>
    <w:p>
      <w:pPr>
        <w:spacing w:line="300" w:lineRule="auto"/>
        <w:ind w:firstLine="480" w:firstLineChars="200"/>
        <w:rPr>
          <w:rFonts w:cs="Times New Roman"/>
          <w:color w:val="auto"/>
          <w:sz w:val="24"/>
          <w:szCs w:val="24"/>
        </w:rPr>
      </w:pPr>
      <w:r>
        <w:rPr>
          <w:rFonts w:cs="Times New Roman"/>
          <w:color w:val="auto"/>
          <w:sz w:val="24"/>
          <w:szCs w:val="24"/>
        </w:rPr>
        <w:t>c）对进场时不做结构性能检验的预制构件，应采取下列措施：</w:t>
      </w:r>
    </w:p>
    <w:p>
      <w:pPr>
        <w:spacing w:line="300" w:lineRule="auto"/>
        <w:ind w:firstLine="480" w:firstLineChars="200"/>
        <w:rPr>
          <w:rFonts w:cs="Times New Roman"/>
          <w:color w:val="auto"/>
          <w:sz w:val="24"/>
          <w:szCs w:val="24"/>
        </w:rPr>
      </w:pPr>
      <w:r>
        <w:rPr>
          <w:rFonts w:cs="Times New Roman"/>
          <w:color w:val="auto"/>
          <w:sz w:val="24"/>
          <w:szCs w:val="24"/>
        </w:rPr>
        <w:t>——施工单位或监理单位代表应驻厂监督生产过程。</w:t>
      </w:r>
    </w:p>
    <w:p>
      <w:pPr>
        <w:spacing w:line="300" w:lineRule="auto"/>
        <w:ind w:firstLine="480" w:firstLineChars="200"/>
        <w:rPr>
          <w:rFonts w:cs="Times New Roman"/>
          <w:color w:val="auto"/>
          <w:sz w:val="24"/>
          <w:szCs w:val="24"/>
        </w:rPr>
      </w:pPr>
      <w:r>
        <w:rPr>
          <w:rFonts w:cs="Times New Roman"/>
          <w:color w:val="auto"/>
          <w:sz w:val="24"/>
          <w:szCs w:val="24"/>
        </w:rPr>
        <w:t>——当无驻厂监督时，预制构件进场时应对其主要受力钢筋数量、规格、间距、保护层厚度及混凝土强度等进行实体检验。</w:t>
      </w:r>
    </w:p>
    <w:p>
      <w:pPr>
        <w:spacing w:line="300" w:lineRule="auto"/>
        <w:ind w:firstLine="480" w:firstLineChars="200"/>
        <w:rPr>
          <w:rFonts w:cs="Times New Roman"/>
          <w:color w:val="auto"/>
          <w:sz w:val="24"/>
          <w:szCs w:val="24"/>
        </w:rPr>
      </w:pPr>
      <w:r>
        <w:rPr>
          <w:rFonts w:cs="Times New Roman"/>
          <w:color w:val="auto"/>
          <w:sz w:val="24"/>
          <w:szCs w:val="24"/>
        </w:rPr>
        <w:t>检查数量：同一类型预制构件不超过1000个为一批，每批随机抽取1个构件进行结构性能检验。</w:t>
      </w:r>
    </w:p>
    <w:p>
      <w:pPr>
        <w:spacing w:line="300" w:lineRule="auto"/>
        <w:ind w:firstLine="480" w:firstLineChars="200"/>
        <w:rPr>
          <w:rFonts w:cs="Times New Roman"/>
          <w:color w:val="auto"/>
          <w:sz w:val="24"/>
          <w:szCs w:val="24"/>
        </w:rPr>
      </w:pPr>
      <w:r>
        <w:rPr>
          <w:rFonts w:cs="Times New Roman"/>
          <w:color w:val="auto"/>
          <w:sz w:val="24"/>
          <w:szCs w:val="24"/>
        </w:rPr>
        <w:t>检验方法：检查结构性能检验报告或实体检验报告。</w:t>
      </w:r>
    </w:p>
    <w:p>
      <w:pPr>
        <w:spacing w:line="300" w:lineRule="auto"/>
        <w:ind w:firstLine="480" w:firstLineChars="200"/>
        <w:rPr>
          <w:rFonts w:cs="Times New Roman"/>
          <w:i/>
          <w:color w:val="auto"/>
          <w:sz w:val="24"/>
          <w:szCs w:val="24"/>
        </w:rPr>
      </w:pPr>
      <w:r>
        <w:rPr>
          <w:rFonts w:cs="Times New Roman"/>
          <w:i/>
          <w:color w:val="auto"/>
          <w:sz w:val="24"/>
          <w:szCs w:val="24"/>
        </w:rPr>
        <w:t>注：“同类型”是指同一钢种、同一混凝土强度等级、同一生产工艺和同一结构形式。抽取预制构件时，宜从设计荷载最大、受力最不利或生产数量最多的预制构件中抽取。</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.3采用钢筋套筒灌浆连接、钢筋浆锚搭接连接及钢筋约束搭接连接的预制构件吊装前应检查灌浆套筒及预留孔洞的通畅性，并做好标高控制面校核及结合面处理。</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检验方法：检查量测记录。</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.4预制构件吊装前应检查就位面上钢筋套筒灌浆连接、钢筋浆锚搭接连接设计要求的外伸长度和垂直度以及钢筋集中约束搭接连接的外伸长度，并做好记录。</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检验方法：检查量测记录。</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.5预制构件的外观质量不应有严重缺陷，且不应有影响结构性能和安装、使用功能的尺寸偏差。</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检验方法：观察，尺量；检查处理记录。</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.6预制构件上的预埋件、预留插筋、预埋管线等的规格和数量以及预留孔、预留洞的数量应符合设计要求，预留插筋端头不应存在马蹄头或弯曲头。</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检验方法：观察。</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.7预制构件的预埋套筒内钢筋长度应符合设计要求。</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检验方法：观察，尺量。</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.8预制构件表面预贴饰面砖、石材等饰面与混凝土的粘结性能应符合设计和国家现行有关标准的规定。</w:t>
      </w:r>
    </w:p>
    <w:p>
      <w:pPr>
        <w:spacing w:line="300" w:lineRule="auto"/>
        <w:ind w:firstLine="480" w:firstLineChars="200"/>
        <w:rPr>
          <w:rFonts w:cs="Times New Roman"/>
          <w:color w:val="auto"/>
          <w:sz w:val="24"/>
          <w:szCs w:val="24"/>
        </w:rPr>
      </w:pPr>
      <w:r>
        <w:rPr>
          <w:rFonts w:cs="Times New Roman"/>
          <w:color w:val="auto"/>
          <w:sz w:val="24"/>
          <w:szCs w:val="24"/>
        </w:rPr>
        <w:t>检查数量：按批检查。</w:t>
      </w:r>
    </w:p>
    <w:p>
      <w:pPr>
        <w:spacing w:line="300" w:lineRule="auto"/>
        <w:ind w:firstLine="480" w:firstLineChars="200"/>
        <w:rPr>
          <w:rFonts w:cs="Times New Roman"/>
          <w:color w:val="auto"/>
          <w:sz w:val="24"/>
          <w:szCs w:val="24"/>
        </w:rPr>
      </w:pPr>
      <w:r>
        <w:rPr>
          <w:rFonts w:cs="Times New Roman"/>
          <w:color w:val="auto"/>
          <w:sz w:val="24"/>
          <w:szCs w:val="24"/>
        </w:rPr>
        <w:t>检验方法：检查拉拔强度检验报告。</w:t>
      </w:r>
    </w:p>
    <w:p>
      <w:pPr>
        <w:pStyle w:val="2"/>
        <w:spacing w:line="300" w:lineRule="auto"/>
        <w:ind w:left="0" w:leftChars="0" w:firstLine="420"/>
        <w:rPr>
          <w:color w:val="auto"/>
        </w:rPr>
      </w:pPr>
    </w:p>
    <w:p>
      <w:pPr>
        <w:spacing w:line="300" w:lineRule="auto"/>
        <w:jc w:val="center"/>
        <w:rPr>
          <w:rFonts w:cs="Times New Roman"/>
          <w:color w:val="auto"/>
          <w:sz w:val="24"/>
          <w:szCs w:val="24"/>
        </w:rPr>
      </w:pPr>
      <w:r>
        <w:rPr>
          <w:rFonts w:cs="Times New Roman"/>
          <w:color w:val="auto"/>
          <w:sz w:val="24"/>
          <w:szCs w:val="24"/>
        </w:rPr>
        <w:t>（Ⅱ）一般项目</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w:t>
      </w:r>
      <w:r>
        <w:rPr>
          <w:rFonts w:hint="eastAsia" w:cs="Times New Roman"/>
          <w:color w:val="auto"/>
          <w:sz w:val="24"/>
          <w:szCs w:val="24"/>
        </w:rPr>
        <w:t>9</w:t>
      </w:r>
      <w:r>
        <w:rPr>
          <w:rFonts w:cs="Times New Roman"/>
          <w:color w:val="auto"/>
          <w:sz w:val="24"/>
          <w:szCs w:val="24"/>
        </w:rPr>
        <w:t>叠合构件的端部钢筋伸出长度和表面粗糙面应符合设计要求。粗糙面设计无具体要求时，可采用拉毛或凿毛等方法，粗糙面凹凸深度不应小于4mm。</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检验方法：观察或铺砂法。</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4.10</w:t>
      </w:r>
      <w:r>
        <w:rPr>
          <w:rFonts w:cs="Times New Roman"/>
          <w:color w:val="auto"/>
          <w:sz w:val="24"/>
          <w:szCs w:val="24"/>
        </w:rPr>
        <w:t>预制构件应有清晰标识，标识内容一般应包括工程名称、生产单位、构件型号、出产日期、质量验收标志、检验员等信息。</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检验方法：观察。</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.1</w:t>
      </w:r>
      <w:r>
        <w:rPr>
          <w:rFonts w:hint="eastAsia" w:cs="Times New Roman"/>
          <w:color w:val="auto"/>
          <w:sz w:val="24"/>
          <w:szCs w:val="24"/>
        </w:rPr>
        <w:t>1</w:t>
      </w:r>
      <w:r>
        <w:rPr>
          <w:rFonts w:cs="Times New Roman"/>
          <w:color w:val="auto"/>
          <w:sz w:val="24"/>
          <w:szCs w:val="24"/>
        </w:rPr>
        <w:t>预制构件外观质量不应有一般缺陷，对出现的一般缺陷应要求构件生产单位按技术处理方案进行处理，并重新检查验收。</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检验方法：观察，检查技术处理方案和处理记录。</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.1</w:t>
      </w:r>
      <w:r>
        <w:rPr>
          <w:rFonts w:hint="eastAsia" w:cs="Times New Roman"/>
          <w:color w:val="auto"/>
          <w:sz w:val="24"/>
          <w:szCs w:val="24"/>
        </w:rPr>
        <w:t>2</w:t>
      </w:r>
      <w:r>
        <w:rPr>
          <w:rFonts w:cs="Times New Roman"/>
          <w:color w:val="auto"/>
          <w:sz w:val="24"/>
          <w:szCs w:val="24"/>
        </w:rPr>
        <w:t>预制构件粗糙面的外观质量、键槽的外观质量和数量应符合设计要求。</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检验方法：观察，量测。</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.1</w:t>
      </w:r>
      <w:r>
        <w:rPr>
          <w:rFonts w:hint="eastAsia" w:cs="Times New Roman"/>
          <w:color w:val="auto"/>
          <w:sz w:val="24"/>
          <w:szCs w:val="24"/>
        </w:rPr>
        <w:t>3</w:t>
      </w:r>
      <w:r>
        <w:rPr>
          <w:rFonts w:cs="Times New Roman"/>
          <w:color w:val="auto"/>
          <w:sz w:val="24"/>
          <w:szCs w:val="24"/>
        </w:rPr>
        <w:t>预制构件表面预贴饰面砖、石材等饰面及装饰混凝土饰面的外观质量应符合设计要求或国家现行有关标准的规定。</w:t>
      </w:r>
    </w:p>
    <w:p>
      <w:pPr>
        <w:spacing w:line="300" w:lineRule="auto"/>
        <w:ind w:firstLine="480" w:firstLineChars="200"/>
        <w:rPr>
          <w:rFonts w:cs="Times New Roman"/>
          <w:color w:val="auto"/>
          <w:sz w:val="24"/>
          <w:szCs w:val="24"/>
        </w:rPr>
      </w:pPr>
      <w:r>
        <w:rPr>
          <w:rFonts w:cs="Times New Roman"/>
          <w:color w:val="auto"/>
          <w:sz w:val="24"/>
          <w:szCs w:val="24"/>
        </w:rPr>
        <w:t>检查数量：按批检查。</w:t>
      </w:r>
    </w:p>
    <w:p>
      <w:pPr>
        <w:spacing w:line="300" w:lineRule="auto"/>
        <w:ind w:firstLine="480" w:firstLineChars="200"/>
        <w:rPr>
          <w:rFonts w:cs="Times New Roman"/>
          <w:color w:val="auto"/>
          <w:sz w:val="24"/>
          <w:szCs w:val="24"/>
        </w:rPr>
      </w:pPr>
      <w:r>
        <w:rPr>
          <w:rFonts w:cs="Times New Roman"/>
          <w:color w:val="auto"/>
          <w:sz w:val="24"/>
          <w:szCs w:val="24"/>
        </w:rPr>
        <w:t>检验方法：观察或轻击检查；与样板对比。</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.1</w:t>
      </w:r>
      <w:r>
        <w:rPr>
          <w:rFonts w:hint="eastAsia" w:cs="Times New Roman"/>
          <w:color w:val="auto"/>
          <w:sz w:val="24"/>
          <w:szCs w:val="24"/>
        </w:rPr>
        <w:t>4</w:t>
      </w:r>
      <w:r>
        <w:rPr>
          <w:rFonts w:cs="Times New Roman"/>
          <w:color w:val="auto"/>
          <w:sz w:val="24"/>
          <w:szCs w:val="24"/>
        </w:rPr>
        <w:t>预制板类、墙板类、梁柱类构件外形尺寸偏差和检验方法应符合现行国家标准《装配式混凝土建筑技术标准》GB/T 51231的有关规定，</w:t>
      </w:r>
      <w:r>
        <w:rPr>
          <w:rFonts w:hint="eastAsia" w:cs="Times New Roman"/>
          <w:color w:val="auto"/>
          <w:sz w:val="24"/>
          <w:szCs w:val="24"/>
        </w:rPr>
        <w:t>预制构件有粗糙面时，与预制构件粗糙面相关的尺寸允许偏差和放宽</w:t>
      </w:r>
      <w:r>
        <w:rPr>
          <w:rFonts w:cs="Times New Roman"/>
          <w:color w:val="auto"/>
          <w:sz w:val="24"/>
          <w:szCs w:val="24"/>
        </w:rPr>
        <w:t>1.5</w:t>
      </w:r>
      <w:r>
        <w:rPr>
          <w:rFonts w:hint="eastAsia" w:cs="Times New Roman"/>
          <w:color w:val="auto"/>
          <w:sz w:val="24"/>
          <w:szCs w:val="24"/>
        </w:rPr>
        <w:t>倍。</w:t>
      </w:r>
    </w:p>
    <w:p>
      <w:pPr>
        <w:spacing w:line="300" w:lineRule="auto"/>
        <w:ind w:firstLine="480" w:firstLineChars="200"/>
        <w:rPr>
          <w:rFonts w:cs="Times New Roman"/>
          <w:color w:val="auto"/>
          <w:sz w:val="24"/>
          <w:szCs w:val="24"/>
        </w:rPr>
      </w:pPr>
      <w:r>
        <w:rPr>
          <w:rFonts w:cs="Times New Roman"/>
          <w:color w:val="auto"/>
          <w:sz w:val="24"/>
          <w:szCs w:val="24"/>
        </w:rPr>
        <w:t>检查数量：按照进场检验批，同一规格(品种）的构件每次抽检数量不应少于该规格(品种）数量的5%且不少于3件。</w:t>
      </w:r>
    </w:p>
    <w:p>
      <w:pPr>
        <w:spacing w:line="300" w:lineRule="auto"/>
        <w:ind w:firstLine="480" w:firstLineChars="200"/>
        <w:rPr>
          <w:rFonts w:cs="Times New Roman"/>
          <w:color w:val="auto"/>
          <w:sz w:val="24"/>
          <w:szCs w:val="24"/>
        </w:rPr>
      </w:pPr>
      <w:r>
        <w:rPr>
          <w:rFonts w:cs="Times New Roman"/>
          <w:color w:val="auto"/>
          <w:sz w:val="24"/>
          <w:szCs w:val="24"/>
        </w:rPr>
        <w:t>检验方法：按现行国家标准《装配式混凝土建筑技术标准》GB/T 51231的有关规定执行。</w:t>
      </w:r>
    </w:p>
    <w:p>
      <w:pPr>
        <w:spacing w:line="300" w:lineRule="auto"/>
        <w:rPr>
          <w:rFonts w:cs="Times New Roman"/>
          <w:color w:val="auto"/>
          <w:sz w:val="24"/>
          <w:szCs w:val="24"/>
        </w:rPr>
      </w:pPr>
      <w:r>
        <w:rPr>
          <w:rFonts w:hint="eastAsia" w:cs="Times New Roman"/>
          <w:color w:val="auto"/>
          <w:sz w:val="24"/>
          <w:szCs w:val="24"/>
        </w:rPr>
        <w:t>5.</w:t>
      </w:r>
      <w:r>
        <w:rPr>
          <w:rFonts w:cs="Times New Roman"/>
          <w:color w:val="auto"/>
          <w:sz w:val="24"/>
          <w:szCs w:val="24"/>
        </w:rPr>
        <w:t>2.</w:t>
      </w:r>
      <w:r>
        <w:rPr>
          <w:rFonts w:hint="eastAsia" w:cs="Times New Roman"/>
          <w:color w:val="auto"/>
          <w:sz w:val="24"/>
          <w:szCs w:val="24"/>
        </w:rPr>
        <w:t>4</w:t>
      </w:r>
      <w:r>
        <w:rPr>
          <w:rFonts w:cs="Times New Roman"/>
          <w:color w:val="auto"/>
          <w:sz w:val="24"/>
          <w:szCs w:val="24"/>
        </w:rPr>
        <w:t>.1</w:t>
      </w:r>
      <w:r>
        <w:rPr>
          <w:rFonts w:hint="eastAsia" w:cs="Times New Roman"/>
          <w:color w:val="auto"/>
          <w:sz w:val="24"/>
          <w:szCs w:val="24"/>
        </w:rPr>
        <w:t>5</w:t>
      </w:r>
      <w:r>
        <w:rPr>
          <w:rFonts w:cs="Times New Roman"/>
          <w:color w:val="auto"/>
          <w:sz w:val="24"/>
          <w:szCs w:val="24"/>
        </w:rPr>
        <w:t>装饰构件的装饰外观尺寸偏差和检验方法应符合设计要求；当设计无具体要求时，应符合现行国家标准《装配式混凝土建筑技术标准》GB/T 51231的有关规定。</w:t>
      </w:r>
    </w:p>
    <w:p>
      <w:pPr>
        <w:spacing w:line="300" w:lineRule="auto"/>
        <w:ind w:firstLine="480" w:firstLineChars="200"/>
        <w:rPr>
          <w:rFonts w:cs="Times New Roman"/>
          <w:color w:val="auto"/>
          <w:sz w:val="24"/>
          <w:szCs w:val="24"/>
        </w:rPr>
      </w:pPr>
      <w:r>
        <w:rPr>
          <w:rFonts w:cs="Times New Roman"/>
          <w:color w:val="auto"/>
          <w:sz w:val="24"/>
          <w:szCs w:val="24"/>
        </w:rPr>
        <w:t>检查数量：按照进场检验批，同一规格(品种）的构件每次抽检数量不应少于该规格(品种）数量的10%且不少于5件。</w:t>
      </w:r>
    </w:p>
    <w:p>
      <w:pPr>
        <w:spacing w:line="300" w:lineRule="auto"/>
        <w:ind w:firstLine="480" w:firstLineChars="200"/>
        <w:rPr>
          <w:rFonts w:cs="Times New Roman"/>
          <w:color w:val="auto"/>
          <w:sz w:val="24"/>
          <w:szCs w:val="24"/>
        </w:rPr>
      </w:pPr>
      <w:r>
        <w:rPr>
          <w:rFonts w:cs="Times New Roman"/>
          <w:color w:val="auto"/>
          <w:sz w:val="24"/>
          <w:szCs w:val="24"/>
        </w:rPr>
        <w:t>检验方法：按现行国家标准《装配式混凝土建筑技术标准》GB/T 51231的有关规定执行。</w:t>
      </w:r>
    </w:p>
    <w:p>
      <w:pPr>
        <w:spacing w:line="300" w:lineRule="auto"/>
        <w:outlineLvl w:val="2"/>
        <w:rPr>
          <w:rFonts w:cs="Times New Roman"/>
          <w:color w:val="auto"/>
          <w:sz w:val="24"/>
          <w:szCs w:val="24"/>
        </w:rPr>
      </w:pPr>
      <w:r>
        <w:rPr>
          <w:rFonts w:cs="Times New Roman"/>
          <w:color w:val="auto"/>
          <w:sz w:val="24"/>
          <w:szCs w:val="24"/>
        </w:rPr>
        <w:t>5.2.5</w:t>
      </w:r>
      <w:r>
        <w:rPr>
          <w:rFonts w:hint="eastAsia" w:cs="Times New Roman"/>
          <w:color w:val="auto"/>
          <w:sz w:val="24"/>
          <w:szCs w:val="24"/>
        </w:rPr>
        <w:t xml:space="preserve"> 预制构件的运输和存放质量控制</w:t>
      </w:r>
    </w:p>
    <w:p>
      <w:pPr>
        <w:spacing w:line="300" w:lineRule="auto"/>
        <w:ind w:firstLine="480" w:firstLineChars="200"/>
        <w:rPr>
          <w:rFonts w:cs="Times New Roman"/>
          <w:color w:val="auto"/>
          <w:sz w:val="24"/>
          <w:szCs w:val="24"/>
        </w:rPr>
      </w:pPr>
      <w:r>
        <w:rPr>
          <w:rFonts w:hint="eastAsia" w:cs="Times New Roman"/>
          <w:color w:val="auto"/>
          <w:sz w:val="24"/>
          <w:szCs w:val="24"/>
        </w:rPr>
        <w:t>（</w:t>
      </w:r>
      <w:r>
        <w:rPr>
          <w:rFonts w:cs="Times New Roman"/>
          <w:color w:val="auto"/>
          <w:sz w:val="24"/>
          <w:szCs w:val="24"/>
        </w:rPr>
        <w:t>1</w:t>
      </w:r>
      <w:r>
        <w:rPr>
          <w:rFonts w:hint="eastAsia" w:cs="Times New Roman"/>
          <w:color w:val="auto"/>
          <w:sz w:val="24"/>
          <w:szCs w:val="24"/>
        </w:rPr>
        <w:t>）预制构件进场前，对于超高、超宽、超重构件应提前规划运输路线，应制定进场计划、场内运输与存放方案。</w:t>
      </w:r>
    </w:p>
    <w:p>
      <w:pPr>
        <w:spacing w:line="300" w:lineRule="auto"/>
        <w:ind w:firstLine="480" w:firstLineChars="200"/>
        <w:rPr>
          <w:rFonts w:cs="Times New Roman"/>
          <w:color w:val="auto"/>
          <w:sz w:val="24"/>
          <w:szCs w:val="24"/>
        </w:rPr>
      </w:pPr>
      <w:r>
        <w:rPr>
          <w:rFonts w:hint="eastAsia" w:cs="Times New Roman"/>
          <w:color w:val="auto"/>
          <w:sz w:val="24"/>
          <w:szCs w:val="24"/>
        </w:rPr>
        <w:t>（2）构件运输时，混凝土强度应符合设计要求。</w:t>
      </w:r>
    </w:p>
    <w:p>
      <w:pPr>
        <w:spacing w:line="300" w:lineRule="auto"/>
        <w:ind w:firstLine="480" w:firstLineChars="200"/>
        <w:rPr>
          <w:rFonts w:cs="Times New Roman"/>
          <w:color w:val="auto"/>
          <w:sz w:val="24"/>
          <w:szCs w:val="24"/>
        </w:rPr>
      </w:pPr>
      <w:r>
        <w:rPr>
          <w:rFonts w:hint="eastAsia" w:cs="Times New Roman"/>
          <w:color w:val="auto"/>
          <w:sz w:val="24"/>
          <w:szCs w:val="24"/>
        </w:rPr>
        <w:t>（3）宜采用RFID等信息化手段进行预制构件的存放、运输等信息的管理。预制构件在正面设置标识，便于查看，标识内容宜包括构件编号、制作日期、合格状态、生产单位等信息。预制构件的堆放场地应坚实、平整，应设置在吊装设备有效起重范围内，并设置通道。</w:t>
      </w:r>
    </w:p>
    <w:p>
      <w:pPr>
        <w:spacing w:line="300" w:lineRule="auto"/>
        <w:ind w:firstLine="480" w:firstLineChars="200"/>
        <w:rPr>
          <w:rFonts w:cs="Times New Roman"/>
          <w:color w:val="auto"/>
          <w:sz w:val="24"/>
          <w:szCs w:val="24"/>
        </w:rPr>
      </w:pPr>
      <w:r>
        <w:rPr>
          <w:rFonts w:hint="eastAsia" w:cs="Times New Roman"/>
          <w:color w:val="auto"/>
          <w:sz w:val="24"/>
          <w:szCs w:val="24"/>
        </w:rPr>
        <w:t>预制构件的构件的运输和存放质量控制除符合本指南要求外，尚应符合</w:t>
      </w:r>
      <w:r>
        <w:rPr>
          <w:rFonts w:cs="Times New Roman"/>
          <w:color w:val="auto"/>
          <w:sz w:val="24"/>
          <w:szCs w:val="24"/>
        </w:rPr>
        <w:t>《装配式混凝土建筑技术标准》GB/T 51231的有关规定。</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w:t>
      </w:r>
      <w:r>
        <w:rPr>
          <w:rFonts w:hint="eastAsia" w:cs="Times New Roman"/>
          <w:color w:val="auto"/>
          <w:sz w:val="24"/>
          <w:szCs w:val="24"/>
        </w:rPr>
        <w:t>（1）检查运输与存放方案。（2）核查留置同条件试件强度报告。</w:t>
      </w:r>
    </w:p>
    <w:p>
      <w:pPr>
        <w:spacing w:line="300" w:lineRule="auto"/>
        <w:rPr>
          <w:color w:val="auto"/>
        </w:rPr>
      </w:pPr>
      <w:r>
        <w:rPr>
          <w:rFonts w:hint="eastAsia" w:cs="Times New Roman"/>
          <w:color w:val="auto"/>
          <w:sz w:val="24"/>
          <w:szCs w:val="24"/>
        </w:rPr>
        <w:t>（3）核查运输与存放记录。</w:t>
      </w:r>
    </w:p>
    <w:p>
      <w:pPr>
        <w:pStyle w:val="4"/>
        <w:spacing w:before="156" w:after="156" w:line="300" w:lineRule="auto"/>
        <w:rPr>
          <w:rFonts w:cs="Times New Roman"/>
          <w:color w:val="auto"/>
          <w:sz w:val="24"/>
          <w:szCs w:val="24"/>
        </w:rPr>
      </w:pPr>
      <w:bookmarkStart w:id="138" w:name="_Toc147952066"/>
      <w:bookmarkStart w:id="139" w:name="_Toc113869342"/>
      <w:r>
        <w:rPr>
          <w:rFonts w:cs="Times New Roman"/>
          <w:color w:val="auto"/>
          <w:sz w:val="24"/>
          <w:szCs w:val="24"/>
        </w:rPr>
        <w:t>连接与安装</w:t>
      </w:r>
      <w:bookmarkEnd w:id="138"/>
      <w:bookmarkEnd w:id="139"/>
    </w:p>
    <w:p>
      <w:pPr>
        <w:spacing w:line="300" w:lineRule="auto"/>
        <w:outlineLvl w:val="2"/>
        <w:rPr>
          <w:rFonts w:cs="Times New Roman"/>
          <w:color w:val="auto"/>
          <w:sz w:val="24"/>
          <w:szCs w:val="24"/>
        </w:rPr>
      </w:pPr>
      <w:r>
        <w:rPr>
          <w:rFonts w:hint="eastAsia" w:cs="Times New Roman"/>
          <w:color w:val="auto"/>
          <w:sz w:val="24"/>
          <w:szCs w:val="24"/>
        </w:rPr>
        <w:t>5.3.1 连接与安装现场验收</w:t>
      </w:r>
    </w:p>
    <w:p>
      <w:pPr>
        <w:spacing w:line="300" w:lineRule="auto"/>
        <w:ind w:firstLine="480" w:firstLineChars="200"/>
        <w:jc w:val="left"/>
        <w:rPr>
          <w:rFonts w:cs="Times New Roman"/>
          <w:color w:val="auto"/>
          <w:sz w:val="24"/>
          <w:szCs w:val="24"/>
        </w:rPr>
      </w:pPr>
      <w:r>
        <w:rPr>
          <w:rFonts w:hint="eastAsia" w:cs="Times New Roman"/>
          <w:color w:val="auto"/>
          <w:sz w:val="24"/>
          <w:szCs w:val="24"/>
        </w:rPr>
        <w:t>装配式剪力墙结构子分部结构验收，当采用钢筋套筒灌浆连接、钢筋浆锚搭接连接及钢筋集中约束搭接连接时，应进行灌浆饱满度实体破损检测或无损检测；当采用叠合剪力墙结构时，应进行结合面质量实体无损检测，发现缺陷时可进行局部破损验证。实体破损后需进行修复，避免影响结构受力和耐久性。</w:t>
      </w:r>
    </w:p>
    <w:p>
      <w:pPr>
        <w:spacing w:line="300" w:lineRule="auto"/>
        <w:ind w:firstLine="480" w:firstLineChars="200"/>
        <w:jc w:val="left"/>
        <w:rPr>
          <w:rFonts w:cs="Times New Roman"/>
          <w:color w:val="auto"/>
          <w:sz w:val="24"/>
          <w:szCs w:val="24"/>
        </w:rPr>
      </w:pPr>
      <w:r>
        <w:rPr>
          <w:rFonts w:hint="eastAsia" w:cs="Times New Roman"/>
          <w:color w:val="auto"/>
          <w:sz w:val="24"/>
          <w:szCs w:val="24"/>
        </w:rPr>
        <w:t>装配式混凝土结构工程的接缝施工质量及防水性能应符合设计要求和国家现行有关标准的规定。墙体抹灰粉刷施工前应逐层进行淋水试验，发现接缝处质量缺陷并按照有关规定处理。装配式混凝土结构连接节点现场检测，抽样数量和检测方法等见附录D。</w:t>
      </w:r>
    </w:p>
    <w:p>
      <w:pPr>
        <w:spacing w:line="300" w:lineRule="auto"/>
        <w:jc w:val="center"/>
        <w:rPr>
          <w:rFonts w:cs="Times New Roman"/>
          <w:color w:val="auto"/>
          <w:sz w:val="24"/>
          <w:szCs w:val="24"/>
        </w:rPr>
      </w:pPr>
      <w:r>
        <w:rPr>
          <w:rFonts w:cs="Times New Roman"/>
          <w:color w:val="auto"/>
          <w:sz w:val="24"/>
          <w:szCs w:val="24"/>
        </w:rPr>
        <w:t>（Ⅰ）主控项目</w:t>
      </w:r>
    </w:p>
    <w:p>
      <w:pPr>
        <w:spacing w:line="300" w:lineRule="auto"/>
        <w:rPr>
          <w:rFonts w:cs="Times New Roman"/>
          <w:color w:val="auto"/>
          <w:sz w:val="24"/>
          <w:szCs w:val="24"/>
        </w:rPr>
      </w:pPr>
      <w:bookmarkStart w:id="140" w:name="_Toc113869165"/>
      <w:bookmarkStart w:id="141" w:name="_Toc113869343"/>
      <w:r>
        <w:rPr>
          <w:rFonts w:hint="eastAsia" w:cs="Times New Roman"/>
          <w:color w:val="auto"/>
          <w:sz w:val="24"/>
          <w:szCs w:val="24"/>
        </w:rPr>
        <w:t>5.3.1.1</w:t>
      </w:r>
      <w:r>
        <w:rPr>
          <w:rFonts w:cs="Times New Roman"/>
          <w:color w:val="auto"/>
          <w:sz w:val="24"/>
          <w:szCs w:val="24"/>
        </w:rPr>
        <w:t>构件连接方式</w:t>
      </w:r>
      <w:bookmarkEnd w:id="140"/>
      <w:bookmarkEnd w:id="141"/>
    </w:p>
    <w:p>
      <w:pPr>
        <w:spacing w:line="300" w:lineRule="auto"/>
        <w:ind w:firstLine="480" w:firstLineChars="200"/>
        <w:rPr>
          <w:rFonts w:cs="Times New Roman"/>
          <w:color w:val="auto"/>
          <w:sz w:val="24"/>
          <w:szCs w:val="24"/>
        </w:rPr>
      </w:pPr>
      <w:r>
        <w:rPr>
          <w:rFonts w:cs="Times New Roman"/>
          <w:color w:val="auto"/>
          <w:sz w:val="24"/>
          <w:szCs w:val="24"/>
        </w:rPr>
        <w:t>装配式混凝土结构构件的连接方式应符合设计要求。</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检验方法：观察检查。</w:t>
      </w:r>
    </w:p>
    <w:p>
      <w:pPr>
        <w:spacing w:line="300" w:lineRule="auto"/>
        <w:outlineLvl w:val="2"/>
        <w:rPr>
          <w:rFonts w:cs="Times New Roman"/>
          <w:color w:val="auto"/>
          <w:sz w:val="24"/>
          <w:szCs w:val="24"/>
        </w:rPr>
      </w:pPr>
      <w:bookmarkStart w:id="142" w:name="_Toc113869166"/>
      <w:bookmarkStart w:id="143" w:name="_Toc113869344"/>
      <w:bookmarkStart w:id="144" w:name="_Toc197"/>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w:t>
      </w:r>
      <w:r>
        <w:rPr>
          <w:rFonts w:cs="Times New Roman"/>
          <w:color w:val="auto"/>
          <w:sz w:val="24"/>
          <w:szCs w:val="24"/>
        </w:rPr>
        <w:t>2灌浆套筒接头工艺</w:t>
      </w:r>
      <w:bookmarkEnd w:id="142"/>
      <w:bookmarkEnd w:id="143"/>
      <w:bookmarkEnd w:id="144"/>
    </w:p>
    <w:p>
      <w:pPr>
        <w:spacing w:line="300" w:lineRule="auto"/>
        <w:ind w:firstLine="480" w:firstLineChars="200"/>
        <w:rPr>
          <w:rFonts w:cs="Times New Roman"/>
          <w:color w:val="auto"/>
          <w:sz w:val="24"/>
          <w:szCs w:val="24"/>
        </w:rPr>
      </w:pPr>
      <w:r>
        <w:rPr>
          <w:rFonts w:hint="eastAsia" w:cs="Times New Roman"/>
          <w:color w:val="auto"/>
          <w:sz w:val="24"/>
          <w:szCs w:val="24"/>
        </w:rPr>
        <w:t>当采用钢筋套筒灌浆连接时，</w:t>
      </w:r>
      <w:r>
        <w:rPr>
          <w:rFonts w:cs="Times New Roman"/>
          <w:color w:val="auto"/>
          <w:sz w:val="24"/>
          <w:szCs w:val="24"/>
        </w:rPr>
        <w:t>灌浆施工前，应对不同钢筋生产企业的进场钢筋进行接头工艺检验，并应符合下列规定：</w:t>
      </w:r>
    </w:p>
    <w:p>
      <w:pPr>
        <w:spacing w:line="300" w:lineRule="auto"/>
        <w:ind w:firstLine="480" w:firstLineChars="200"/>
        <w:rPr>
          <w:rFonts w:cs="Times New Roman"/>
          <w:color w:val="auto"/>
          <w:sz w:val="24"/>
          <w:szCs w:val="24"/>
        </w:rPr>
      </w:pPr>
      <w:r>
        <w:rPr>
          <w:rFonts w:cs="Times New Roman"/>
          <w:color w:val="auto"/>
          <w:sz w:val="24"/>
          <w:szCs w:val="24"/>
        </w:rPr>
        <w:t>a）施工过程中，当更换钢筋生产企业、或同生产企业生产的钢筋外形尺寸与已完成工艺检验的钢筋有较大差异时，应再次进行工艺检验；</w:t>
      </w:r>
    </w:p>
    <w:p>
      <w:pPr>
        <w:spacing w:line="300" w:lineRule="auto"/>
        <w:ind w:firstLine="480" w:firstLineChars="200"/>
        <w:rPr>
          <w:rFonts w:cs="Times New Roman"/>
          <w:color w:val="auto"/>
          <w:sz w:val="24"/>
          <w:szCs w:val="24"/>
        </w:rPr>
      </w:pPr>
      <w:r>
        <w:rPr>
          <w:rFonts w:cs="Times New Roman"/>
          <w:color w:val="auto"/>
          <w:sz w:val="24"/>
          <w:szCs w:val="24"/>
        </w:rPr>
        <w:t>b）灌浆套筒埋入预制构件时，工艺检验应在预制构件生产前进行；当现场灌浆施工单位与工艺检验时的灌浆单位不同，灌浆前应再次进行工艺检验；</w:t>
      </w:r>
    </w:p>
    <w:p>
      <w:pPr>
        <w:spacing w:line="300" w:lineRule="auto"/>
        <w:ind w:firstLine="480" w:firstLineChars="200"/>
        <w:rPr>
          <w:rFonts w:cs="Times New Roman"/>
          <w:color w:val="auto"/>
          <w:sz w:val="24"/>
          <w:szCs w:val="24"/>
        </w:rPr>
      </w:pPr>
      <w:r>
        <w:rPr>
          <w:rFonts w:cs="Times New Roman"/>
          <w:color w:val="auto"/>
          <w:sz w:val="24"/>
          <w:szCs w:val="24"/>
        </w:rPr>
        <w:t>c）工艺检验应模拟施工条件制作接头试件，并应按接头提供单位提供的施工操作要求进行；</w:t>
      </w:r>
    </w:p>
    <w:p>
      <w:pPr>
        <w:spacing w:line="300" w:lineRule="auto"/>
        <w:ind w:firstLine="480" w:firstLineChars="200"/>
        <w:rPr>
          <w:rFonts w:cs="Times New Roman"/>
          <w:color w:val="auto"/>
          <w:sz w:val="24"/>
          <w:szCs w:val="24"/>
        </w:rPr>
      </w:pPr>
      <w:r>
        <w:rPr>
          <w:rFonts w:cs="Times New Roman"/>
          <w:color w:val="auto"/>
          <w:sz w:val="24"/>
          <w:szCs w:val="24"/>
        </w:rPr>
        <w:t>d）每种规格钢筋应制作3个对中套筒灌浆连接接头，并应检查灌浆质量；</w:t>
      </w:r>
    </w:p>
    <w:p>
      <w:pPr>
        <w:spacing w:line="300" w:lineRule="auto"/>
        <w:ind w:firstLine="480" w:firstLineChars="200"/>
        <w:rPr>
          <w:rFonts w:cs="Times New Roman"/>
          <w:color w:val="auto"/>
          <w:sz w:val="24"/>
          <w:szCs w:val="24"/>
        </w:rPr>
      </w:pPr>
      <w:r>
        <w:rPr>
          <w:rFonts w:cs="Times New Roman"/>
          <w:color w:val="auto"/>
          <w:sz w:val="24"/>
          <w:szCs w:val="24"/>
        </w:rPr>
        <w:t>e）采用灌浆料拌合物制作的40mm</w:t>
      </w:r>
      <w:r>
        <w:rPr>
          <w:rFonts w:hint="eastAsia" w:cs="Times New Roman"/>
          <w:color w:val="auto"/>
          <w:sz w:val="24"/>
          <w:szCs w:val="24"/>
        </w:rPr>
        <w:t>×</w:t>
      </w:r>
      <w:r>
        <w:rPr>
          <w:rFonts w:cs="Times New Roman"/>
          <w:color w:val="auto"/>
          <w:sz w:val="24"/>
          <w:szCs w:val="24"/>
        </w:rPr>
        <w:t>40mm</w:t>
      </w:r>
      <w:r>
        <w:rPr>
          <w:rFonts w:hint="eastAsia" w:cs="Times New Roman"/>
          <w:color w:val="auto"/>
          <w:sz w:val="24"/>
          <w:szCs w:val="24"/>
        </w:rPr>
        <w:t>×</w:t>
      </w:r>
      <w:r>
        <w:rPr>
          <w:rFonts w:cs="Times New Roman"/>
          <w:color w:val="auto"/>
          <w:sz w:val="24"/>
          <w:szCs w:val="24"/>
        </w:rPr>
        <w:t>160mm试件不应少于1组；</w:t>
      </w:r>
    </w:p>
    <w:p>
      <w:pPr>
        <w:spacing w:line="300" w:lineRule="auto"/>
        <w:ind w:firstLine="480" w:firstLineChars="200"/>
        <w:rPr>
          <w:rFonts w:cs="Times New Roman"/>
          <w:color w:val="auto"/>
          <w:sz w:val="24"/>
          <w:szCs w:val="24"/>
        </w:rPr>
      </w:pPr>
      <w:r>
        <w:rPr>
          <w:rFonts w:cs="Times New Roman"/>
          <w:color w:val="auto"/>
          <w:sz w:val="24"/>
          <w:szCs w:val="24"/>
        </w:rPr>
        <w:t>f）接头试件及灌浆料试件应在标准养护条件下养护28d；</w:t>
      </w:r>
    </w:p>
    <w:p>
      <w:pPr>
        <w:spacing w:line="300" w:lineRule="auto"/>
        <w:ind w:firstLine="480" w:firstLineChars="200"/>
        <w:rPr>
          <w:rFonts w:cs="Times New Roman"/>
          <w:color w:val="auto"/>
          <w:sz w:val="24"/>
          <w:szCs w:val="24"/>
        </w:rPr>
      </w:pPr>
      <w:r>
        <w:rPr>
          <w:rFonts w:cs="Times New Roman"/>
          <w:color w:val="auto"/>
          <w:sz w:val="24"/>
          <w:szCs w:val="24"/>
        </w:rPr>
        <w:t>g）每个接头试件的抗拉强度与屈服强度、3个接头试件残余变形的平均值和灌浆料28d抗压强度应符合现行行业标准《钢筋套筒灌浆连接应用技术规程》JGJ 355的规定；</w:t>
      </w:r>
    </w:p>
    <w:p>
      <w:pPr>
        <w:spacing w:line="300" w:lineRule="auto"/>
        <w:ind w:firstLine="480" w:firstLineChars="200"/>
        <w:rPr>
          <w:rFonts w:cs="Times New Roman"/>
          <w:color w:val="auto"/>
          <w:sz w:val="24"/>
          <w:szCs w:val="24"/>
        </w:rPr>
      </w:pPr>
      <w:r>
        <w:rPr>
          <w:rFonts w:cs="Times New Roman"/>
          <w:color w:val="auto"/>
          <w:sz w:val="24"/>
          <w:szCs w:val="24"/>
        </w:rPr>
        <w:t>h）接头试件在量测残余变形后可再进行抗拉强度试验，并应按现行行业标准《钢筋机械连接技术规程》JGJ 107规定的钢筋机械连接型式检验单向拉伸加载制度进行试验；</w:t>
      </w:r>
    </w:p>
    <w:p>
      <w:pPr>
        <w:spacing w:line="300" w:lineRule="auto"/>
        <w:ind w:firstLine="480" w:firstLineChars="200"/>
        <w:rPr>
          <w:rFonts w:cs="Times New Roman"/>
          <w:color w:val="auto"/>
          <w:sz w:val="24"/>
          <w:szCs w:val="24"/>
        </w:rPr>
      </w:pPr>
      <w:r>
        <w:rPr>
          <w:rFonts w:cs="Times New Roman"/>
          <w:color w:val="auto"/>
          <w:sz w:val="24"/>
          <w:szCs w:val="24"/>
        </w:rPr>
        <w:t>i）第一次工艺检验中1个试件抗拉强度或3个试件的残余变形平均值不合格时，可再抽3个试件进行复检，复检仍不合格判为工艺检验不合格；</w:t>
      </w:r>
    </w:p>
    <w:p>
      <w:pPr>
        <w:spacing w:line="300" w:lineRule="auto"/>
        <w:ind w:firstLine="480" w:firstLineChars="200"/>
        <w:rPr>
          <w:rFonts w:cs="Times New Roman"/>
          <w:color w:val="auto"/>
          <w:sz w:val="24"/>
          <w:szCs w:val="24"/>
        </w:rPr>
      </w:pPr>
      <w:bookmarkStart w:id="145" w:name="_Toc22327"/>
      <w:bookmarkStart w:id="146" w:name="_Toc22663"/>
      <w:r>
        <w:rPr>
          <w:rFonts w:cs="Times New Roman"/>
          <w:color w:val="auto"/>
          <w:sz w:val="24"/>
          <w:szCs w:val="24"/>
        </w:rPr>
        <w:t>J）工艺检验应由专业检测机构进行，并应出具检验报告。</w:t>
      </w:r>
      <w:bookmarkEnd w:id="145"/>
      <w:bookmarkEnd w:id="146"/>
    </w:p>
    <w:p>
      <w:pPr>
        <w:spacing w:line="300" w:lineRule="auto"/>
        <w:outlineLvl w:val="2"/>
        <w:rPr>
          <w:rFonts w:cs="Times New Roman"/>
          <w:color w:val="auto"/>
          <w:sz w:val="24"/>
          <w:szCs w:val="24"/>
        </w:rPr>
      </w:pPr>
      <w:bookmarkStart w:id="147" w:name="_Toc113869345"/>
      <w:bookmarkStart w:id="148" w:name="_Toc113869167"/>
      <w:bookmarkStart w:id="149" w:name="_Toc16371"/>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w:t>
      </w:r>
      <w:r>
        <w:rPr>
          <w:rFonts w:cs="Times New Roman"/>
          <w:color w:val="auto"/>
          <w:sz w:val="24"/>
          <w:szCs w:val="24"/>
        </w:rPr>
        <w:t>.3钢筋机械连接质量</w:t>
      </w:r>
      <w:bookmarkEnd w:id="147"/>
      <w:bookmarkEnd w:id="148"/>
      <w:bookmarkEnd w:id="149"/>
    </w:p>
    <w:p>
      <w:pPr>
        <w:spacing w:line="300" w:lineRule="auto"/>
        <w:ind w:firstLine="480" w:firstLineChars="200"/>
        <w:rPr>
          <w:rFonts w:cs="Times New Roman"/>
          <w:color w:val="auto"/>
          <w:sz w:val="24"/>
          <w:szCs w:val="24"/>
        </w:rPr>
      </w:pPr>
      <w:r>
        <w:rPr>
          <w:rFonts w:cs="Times New Roman"/>
          <w:color w:val="auto"/>
          <w:sz w:val="24"/>
          <w:szCs w:val="24"/>
        </w:rPr>
        <w:t>钢筋采用机械连接时，其接头质量应符合现行行业标准《钢筋机械连接技术规程》JGJ 107的有关规定。</w:t>
      </w:r>
    </w:p>
    <w:p>
      <w:pPr>
        <w:spacing w:line="300" w:lineRule="auto"/>
        <w:ind w:firstLine="480" w:firstLineChars="200"/>
        <w:rPr>
          <w:rFonts w:cs="Times New Roman"/>
          <w:color w:val="auto"/>
          <w:sz w:val="24"/>
          <w:szCs w:val="24"/>
        </w:rPr>
      </w:pPr>
      <w:r>
        <w:rPr>
          <w:rFonts w:cs="Times New Roman"/>
          <w:color w:val="auto"/>
          <w:sz w:val="24"/>
          <w:szCs w:val="24"/>
        </w:rPr>
        <w:t>检查数量：应符合现行行业标准《钢筋机械连接技术规程》JGJ 107的有关规定。</w:t>
      </w:r>
    </w:p>
    <w:p>
      <w:pPr>
        <w:spacing w:line="300" w:lineRule="auto"/>
        <w:ind w:firstLine="480" w:firstLineChars="200"/>
        <w:rPr>
          <w:rFonts w:cs="Times New Roman"/>
          <w:color w:val="auto"/>
          <w:sz w:val="24"/>
          <w:szCs w:val="24"/>
        </w:rPr>
      </w:pPr>
      <w:r>
        <w:rPr>
          <w:rFonts w:cs="Times New Roman"/>
          <w:color w:val="auto"/>
          <w:sz w:val="24"/>
          <w:szCs w:val="24"/>
        </w:rPr>
        <w:t>检验方法：检查钢筋机械连接施工记录及平行试件的强度试验报告。</w:t>
      </w:r>
    </w:p>
    <w:p>
      <w:pPr>
        <w:spacing w:line="300" w:lineRule="auto"/>
        <w:outlineLvl w:val="2"/>
        <w:rPr>
          <w:rFonts w:cs="Times New Roman"/>
          <w:color w:val="auto"/>
          <w:sz w:val="24"/>
          <w:szCs w:val="24"/>
        </w:rPr>
      </w:pPr>
      <w:bookmarkStart w:id="150" w:name="_Toc113869346"/>
      <w:bookmarkStart w:id="151" w:name="_Toc15272"/>
      <w:bookmarkStart w:id="152" w:name="_Toc113869168"/>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w:t>
      </w:r>
      <w:r>
        <w:rPr>
          <w:rFonts w:cs="Times New Roman"/>
          <w:color w:val="auto"/>
          <w:sz w:val="24"/>
          <w:szCs w:val="24"/>
        </w:rPr>
        <w:t>.4钢筋焊接连接质量</w:t>
      </w:r>
      <w:bookmarkEnd w:id="150"/>
      <w:bookmarkEnd w:id="151"/>
      <w:bookmarkEnd w:id="152"/>
    </w:p>
    <w:p>
      <w:pPr>
        <w:spacing w:line="300" w:lineRule="auto"/>
        <w:ind w:firstLine="480" w:firstLineChars="200"/>
        <w:rPr>
          <w:rFonts w:cs="Times New Roman"/>
          <w:color w:val="auto"/>
          <w:sz w:val="24"/>
          <w:szCs w:val="24"/>
        </w:rPr>
      </w:pPr>
      <w:r>
        <w:rPr>
          <w:rFonts w:cs="Times New Roman"/>
          <w:color w:val="auto"/>
          <w:sz w:val="24"/>
          <w:szCs w:val="24"/>
        </w:rPr>
        <w:t>钢筋采用焊接连接时，其焊缝的接头质量应满足设计要求，并应符合现行行业标准《钢筋焊接及验收规程》JGJ 18的有关规定。</w:t>
      </w:r>
    </w:p>
    <w:p>
      <w:pPr>
        <w:spacing w:line="300" w:lineRule="auto"/>
        <w:ind w:firstLine="480" w:firstLineChars="200"/>
        <w:rPr>
          <w:rFonts w:cs="Times New Roman"/>
          <w:color w:val="auto"/>
          <w:sz w:val="24"/>
          <w:szCs w:val="24"/>
        </w:rPr>
      </w:pPr>
      <w:r>
        <w:rPr>
          <w:rFonts w:cs="Times New Roman"/>
          <w:color w:val="auto"/>
          <w:sz w:val="24"/>
          <w:szCs w:val="24"/>
        </w:rPr>
        <w:t>检查数量：应符合现行行业标准《钢筋焊接及验收规程》JGJ 18的有关规定。</w:t>
      </w:r>
    </w:p>
    <w:p>
      <w:pPr>
        <w:spacing w:line="300" w:lineRule="auto"/>
        <w:ind w:firstLine="480" w:firstLineChars="200"/>
        <w:rPr>
          <w:rFonts w:cs="Times New Roman"/>
          <w:color w:val="auto"/>
          <w:sz w:val="24"/>
          <w:szCs w:val="24"/>
        </w:rPr>
      </w:pPr>
      <w:r>
        <w:rPr>
          <w:rFonts w:cs="Times New Roman"/>
          <w:color w:val="auto"/>
          <w:sz w:val="24"/>
          <w:szCs w:val="24"/>
        </w:rPr>
        <w:t>检验方法：检查钢筋焊接接头检验批质量验收记录。</w:t>
      </w:r>
    </w:p>
    <w:p>
      <w:pPr>
        <w:spacing w:line="300" w:lineRule="auto"/>
        <w:outlineLvl w:val="2"/>
        <w:rPr>
          <w:rFonts w:cs="Times New Roman"/>
          <w:color w:val="auto"/>
          <w:sz w:val="24"/>
          <w:szCs w:val="24"/>
        </w:rPr>
      </w:pPr>
      <w:bookmarkStart w:id="153" w:name="_Toc113869169"/>
      <w:bookmarkStart w:id="154" w:name="_Toc113869347"/>
      <w:bookmarkStart w:id="155" w:name="_Toc1612"/>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w:t>
      </w:r>
      <w:r>
        <w:rPr>
          <w:rFonts w:cs="Times New Roman"/>
          <w:color w:val="auto"/>
          <w:sz w:val="24"/>
          <w:szCs w:val="24"/>
        </w:rPr>
        <w:t>.5型钢焊接连接质量</w:t>
      </w:r>
      <w:bookmarkEnd w:id="153"/>
      <w:bookmarkEnd w:id="154"/>
      <w:bookmarkEnd w:id="155"/>
    </w:p>
    <w:p>
      <w:pPr>
        <w:spacing w:line="300" w:lineRule="auto"/>
        <w:ind w:firstLine="480" w:firstLineChars="200"/>
        <w:rPr>
          <w:rFonts w:cs="Times New Roman"/>
          <w:color w:val="auto"/>
          <w:sz w:val="24"/>
          <w:szCs w:val="24"/>
        </w:rPr>
      </w:pPr>
      <w:r>
        <w:rPr>
          <w:rFonts w:cs="Times New Roman"/>
          <w:color w:val="auto"/>
          <w:sz w:val="24"/>
          <w:szCs w:val="24"/>
        </w:rPr>
        <w:t>预制构件采用型钢焊接连接时，型钢焊缝的接头质量应满足设计要求，并应符合现行国家标准《钢结构焊接规范》GB 50661和《钢结构工程施工质量验收标准》GB 50205的有关规定。</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检验方法：应符合现行国家标准《钢结构工程施工质量验收标准》GB 50205的有关规定。</w:t>
      </w:r>
    </w:p>
    <w:p>
      <w:pPr>
        <w:spacing w:line="300" w:lineRule="auto"/>
        <w:outlineLvl w:val="2"/>
        <w:rPr>
          <w:rFonts w:cs="Times New Roman"/>
          <w:color w:val="auto"/>
          <w:sz w:val="24"/>
          <w:szCs w:val="24"/>
        </w:rPr>
      </w:pPr>
      <w:bookmarkStart w:id="156" w:name="_Toc113869170"/>
      <w:bookmarkStart w:id="157" w:name="_Toc9286"/>
      <w:bookmarkStart w:id="158" w:name="_Toc113869348"/>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w:t>
      </w:r>
      <w:r>
        <w:rPr>
          <w:rFonts w:cs="Times New Roman"/>
          <w:color w:val="auto"/>
          <w:sz w:val="24"/>
          <w:szCs w:val="24"/>
        </w:rPr>
        <w:t>.6螺栓连接</w:t>
      </w:r>
      <w:bookmarkEnd w:id="156"/>
      <w:bookmarkEnd w:id="157"/>
      <w:bookmarkEnd w:id="158"/>
      <w:r>
        <w:rPr>
          <w:rFonts w:hint="eastAsia" w:cs="Times New Roman"/>
          <w:color w:val="auto"/>
          <w:sz w:val="24"/>
          <w:szCs w:val="24"/>
        </w:rPr>
        <w:t>质量</w:t>
      </w:r>
    </w:p>
    <w:p>
      <w:pPr>
        <w:spacing w:line="300" w:lineRule="auto"/>
        <w:ind w:firstLine="480" w:firstLineChars="200"/>
        <w:rPr>
          <w:rFonts w:cs="Times New Roman"/>
          <w:color w:val="auto"/>
          <w:sz w:val="24"/>
          <w:szCs w:val="24"/>
        </w:rPr>
      </w:pPr>
      <w:r>
        <w:rPr>
          <w:rFonts w:cs="Times New Roman"/>
          <w:color w:val="auto"/>
          <w:sz w:val="24"/>
          <w:szCs w:val="24"/>
        </w:rPr>
        <w:t>预制构件采用螺栓连接时，螺栓的材质、规格、拧紧力矩应符合设计要求及现行国家标准《钢结构设计标准》GB 50017和《钢结构工程施工质量验收标准》GB 50205的有关规定。</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检验方法：应符合现行国家标准《钢结构工程施工质量验收标准》GB 50205的有关规定。</w:t>
      </w:r>
    </w:p>
    <w:p>
      <w:pPr>
        <w:spacing w:line="300" w:lineRule="auto"/>
        <w:outlineLvl w:val="2"/>
        <w:rPr>
          <w:rFonts w:cs="Times New Roman"/>
          <w:color w:val="auto"/>
          <w:sz w:val="24"/>
          <w:szCs w:val="24"/>
        </w:rPr>
      </w:pPr>
      <w:bookmarkStart w:id="159" w:name="_Toc113869349"/>
      <w:bookmarkStart w:id="160" w:name="_Toc113869171"/>
      <w:bookmarkStart w:id="161" w:name="_Toc13678"/>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w:t>
      </w:r>
      <w:r>
        <w:rPr>
          <w:rFonts w:cs="Times New Roman"/>
          <w:color w:val="auto"/>
          <w:sz w:val="24"/>
          <w:szCs w:val="24"/>
        </w:rPr>
        <w:t>.7灌浆作业</w:t>
      </w:r>
      <w:bookmarkEnd w:id="159"/>
      <w:bookmarkEnd w:id="160"/>
      <w:bookmarkEnd w:id="161"/>
      <w:r>
        <w:rPr>
          <w:rFonts w:hint="eastAsia" w:cs="Times New Roman"/>
          <w:color w:val="auto"/>
          <w:sz w:val="24"/>
          <w:szCs w:val="24"/>
        </w:rPr>
        <w:t>质量</w:t>
      </w:r>
    </w:p>
    <w:p>
      <w:pPr>
        <w:spacing w:line="300" w:lineRule="auto"/>
        <w:ind w:firstLine="480" w:firstLineChars="200"/>
        <w:rPr>
          <w:rFonts w:cs="Times New Roman"/>
          <w:color w:val="auto"/>
          <w:sz w:val="24"/>
          <w:szCs w:val="24"/>
        </w:rPr>
      </w:pPr>
      <w:r>
        <w:rPr>
          <w:rFonts w:hint="eastAsia" w:cs="Times New Roman"/>
          <w:color w:val="auto"/>
          <w:sz w:val="24"/>
          <w:szCs w:val="24"/>
        </w:rPr>
        <w:t>施工现场从事特种作业的人员应取得相应的资格证书后才能上岗作业。灌浆施工人员应进行专项培训，考核合格后方可上岗。</w:t>
      </w:r>
    </w:p>
    <w:p>
      <w:pPr>
        <w:spacing w:line="300" w:lineRule="auto"/>
        <w:ind w:firstLine="240" w:firstLineChars="100"/>
        <w:rPr>
          <w:rFonts w:cs="Times New Roman"/>
          <w:color w:val="auto"/>
          <w:sz w:val="24"/>
          <w:szCs w:val="24"/>
        </w:rPr>
      </w:pPr>
      <w:r>
        <w:rPr>
          <w:rFonts w:cs="Times New Roman"/>
          <w:color w:val="auto"/>
          <w:sz w:val="24"/>
          <w:szCs w:val="24"/>
        </w:rPr>
        <w:t>1）钢筋套筒灌浆连接接头、钢筋浆锚搭接连接接头灌浆作业过程除应符合《钢筋套筒灌浆连接应用技术规程》JGJ 355</w:t>
      </w:r>
      <w:r>
        <w:rPr>
          <w:rFonts w:hint="eastAsia" w:cs="Times New Roman"/>
          <w:color w:val="auto"/>
          <w:sz w:val="24"/>
          <w:szCs w:val="24"/>
        </w:rPr>
        <w:t>，</w:t>
      </w:r>
      <w:r>
        <w:rPr>
          <w:rFonts w:cs="Times New Roman"/>
          <w:color w:val="auto"/>
          <w:sz w:val="24"/>
          <w:szCs w:val="24"/>
        </w:rPr>
        <w:t>《装配式混凝土结构技术规程》JGJ 1和《装配式混凝土建筑技术标准》GB/T 51231等国家现行有关标准及施工方案的要求外，尚应符合下列规定：</w:t>
      </w:r>
    </w:p>
    <w:p>
      <w:pPr>
        <w:spacing w:line="300" w:lineRule="auto"/>
        <w:ind w:firstLine="480" w:firstLineChars="200"/>
        <w:rPr>
          <w:rFonts w:cs="Times New Roman"/>
          <w:color w:val="auto"/>
          <w:sz w:val="24"/>
          <w:szCs w:val="24"/>
        </w:rPr>
      </w:pPr>
      <w:r>
        <w:rPr>
          <w:rFonts w:hint="eastAsia" w:cs="Times New Roman"/>
          <w:color w:val="auto"/>
          <w:sz w:val="24"/>
          <w:szCs w:val="24"/>
        </w:rPr>
        <w:t>a</w:t>
      </w:r>
      <w:r>
        <w:rPr>
          <w:rFonts w:cs="Times New Roman"/>
          <w:color w:val="auto"/>
          <w:sz w:val="24"/>
          <w:szCs w:val="24"/>
        </w:rPr>
        <w:t>）灌浆操作全过程应有专门人员负责现场监督，拍摄视频影像，并及时形成有专门人员签字的施工检查记录；</w:t>
      </w:r>
    </w:p>
    <w:p>
      <w:pPr>
        <w:spacing w:line="300" w:lineRule="auto"/>
        <w:ind w:firstLine="480" w:firstLineChars="200"/>
        <w:rPr>
          <w:rFonts w:cs="Times New Roman"/>
          <w:color w:val="auto"/>
          <w:sz w:val="24"/>
          <w:szCs w:val="24"/>
        </w:rPr>
      </w:pPr>
      <w:r>
        <w:rPr>
          <w:rFonts w:hint="eastAsia" w:cs="Times New Roman"/>
          <w:color w:val="auto"/>
          <w:sz w:val="24"/>
          <w:szCs w:val="24"/>
        </w:rPr>
        <w:t>b</w:t>
      </w:r>
      <w:r>
        <w:rPr>
          <w:rFonts w:cs="Times New Roman"/>
          <w:color w:val="auto"/>
          <w:sz w:val="24"/>
          <w:szCs w:val="24"/>
        </w:rPr>
        <w:t>）应采用专用量具精确称量灌浆料与拌合水，并按产品使用说明书的要求计量灌浆料和拌合水的用量，抽样检查，首层安装时和正常灌浆每3层检查一次，检查拌浆加水量容器和控制方法，检查灌浆料检验报告；每工作班应检查灌浆料拌合物初始流动度不少于1次，其流动度应满足国家现行有关标准的规定；</w:t>
      </w:r>
    </w:p>
    <w:p>
      <w:pPr>
        <w:spacing w:line="300" w:lineRule="auto"/>
        <w:ind w:firstLine="480" w:firstLineChars="200"/>
        <w:rPr>
          <w:rFonts w:cs="Times New Roman"/>
          <w:color w:val="auto"/>
          <w:sz w:val="24"/>
          <w:szCs w:val="24"/>
        </w:rPr>
      </w:pPr>
      <w:r>
        <w:rPr>
          <w:rFonts w:hint="eastAsia" w:cs="Times New Roman"/>
          <w:color w:val="auto"/>
          <w:sz w:val="24"/>
          <w:szCs w:val="24"/>
        </w:rPr>
        <w:t>c</w:t>
      </w:r>
      <w:r>
        <w:rPr>
          <w:rFonts w:cs="Times New Roman"/>
          <w:color w:val="auto"/>
          <w:sz w:val="24"/>
          <w:szCs w:val="24"/>
        </w:rPr>
        <w:t>）灌浆料的强度试块制作时应采用40mm</w:t>
      </w:r>
      <w:r>
        <w:rPr>
          <w:rFonts w:hint="eastAsia" w:cs="Times New Roman"/>
          <w:color w:val="auto"/>
          <w:sz w:val="24"/>
          <w:szCs w:val="24"/>
        </w:rPr>
        <w:t>×</w:t>
      </w:r>
      <w:r>
        <w:rPr>
          <w:rFonts w:cs="Times New Roman"/>
          <w:color w:val="auto"/>
          <w:sz w:val="24"/>
          <w:szCs w:val="24"/>
        </w:rPr>
        <w:t>40mm</w:t>
      </w:r>
      <w:r>
        <w:rPr>
          <w:rFonts w:hint="eastAsia" w:cs="Times New Roman"/>
          <w:color w:val="auto"/>
          <w:sz w:val="24"/>
          <w:szCs w:val="24"/>
        </w:rPr>
        <w:t>×</w:t>
      </w:r>
      <w:r>
        <w:rPr>
          <w:rFonts w:cs="Times New Roman"/>
          <w:color w:val="auto"/>
          <w:sz w:val="24"/>
          <w:szCs w:val="24"/>
        </w:rPr>
        <w:t>160mm钢制标准试模，每作业班组应制作一组，每层不少于3组，并进行</w:t>
      </w:r>
      <w:r>
        <w:rPr>
          <w:rFonts w:hint="eastAsia" w:cs="Times New Roman"/>
          <w:color w:val="auto"/>
          <w:sz w:val="24"/>
          <w:szCs w:val="24"/>
        </w:rPr>
        <w:t>标准</w:t>
      </w:r>
      <w:r>
        <w:rPr>
          <w:rFonts w:cs="Times New Roman"/>
          <w:color w:val="auto"/>
          <w:sz w:val="24"/>
          <w:szCs w:val="24"/>
        </w:rPr>
        <w:t>养护。</w:t>
      </w:r>
    </w:p>
    <w:p>
      <w:pPr>
        <w:spacing w:line="300" w:lineRule="auto"/>
        <w:ind w:firstLine="480" w:firstLineChars="200"/>
        <w:rPr>
          <w:rFonts w:cs="Times New Roman"/>
          <w:color w:val="auto"/>
          <w:sz w:val="24"/>
          <w:szCs w:val="24"/>
        </w:rPr>
      </w:pPr>
      <w:r>
        <w:rPr>
          <w:rFonts w:cs="Times New Roman"/>
          <w:color w:val="auto"/>
          <w:sz w:val="24"/>
          <w:szCs w:val="24"/>
        </w:rPr>
        <w:t>2）钢筋采用套筒灌浆连接、浆锚搭接连接及钢筋集中约束搭接连接时，灌浆应饱满、密实。</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检验方法：检查灌浆施工方法和施工记录、监理旁站记录及浆料饱满度检测报告。</w:t>
      </w:r>
    </w:p>
    <w:p>
      <w:pPr>
        <w:spacing w:line="300" w:lineRule="auto"/>
        <w:ind w:firstLine="480" w:firstLineChars="200"/>
        <w:rPr>
          <w:rFonts w:cs="Times New Roman"/>
          <w:color w:val="auto"/>
          <w:sz w:val="24"/>
          <w:szCs w:val="24"/>
        </w:rPr>
      </w:pPr>
      <w:r>
        <w:rPr>
          <w:rFonts w:cs="Times New Roman"/>
          <w:color w:val="auto"/>
          <w:sz w:val="24"/>
          <w:szCs w:val="24"/>
        </w:rPr>
        <w:t>3）</w:t>
      </w:r>
      <w:r>
        <w:rPr>
          <w:rFonts w:hint="eastAsia" w:cs="Times New Roman"/>
          <w:color w:val="auto"/>
          <w:sz w:val="24"/>
          <w:szCs w:val="24"/>
        </w:rPr>
        <w:t>钢筋套筒灌浆连接灌浆施工中，应采用实际应用的灌浆套筒、灌浆料制作平行加工对中连接试件，进行抗拉强度检验。每批中 3 个接头的检验结果判定按照现行行业标准《钢筋套筒灌浆连接应用技术规程》JGJ355 执行。</w:t>
      </w:r>
    </w:p>
    <w:p>
      <w:pPr>
        <w:spacing w:line="300" w:lineRule="auto"/>
        <w:ind w:firstLine="480" w:firstLineChars="200"/>
        <w:rPr>
          <w:rFonts w:cs="Times New Roman"/>
          <w:color w:val="auto"/>
          <w:sz w:val="24"/>
          <w:szCs w:val="24"/>
        </w:rPr>
      </w:pPr>
      <w:r>
        <w:rPr>
          <w:rFonts w:cs="Times New Roman"/>
          <w:color w:val="auto"/>
          <w:sz w:val="24"/>
          <w:szCs w:val="24"/>
        </w:rPr>
        <w:t>检查数量：不超过四个楼层的同一批号、同一类型、同一强度等级、同一规格的连接接头，不超过1000个为一批，每批制作3个对中连接接头试件。所有接头试件都应监理单位见证下由现场灌浆工随施工进度平行制作，不得提前制作。</w:t>
      </w:r>
    </w:p>
    <w:p>
      <w:pPr>
        <w:spacing w:line="300" w:lineRule="auto"/>
        <w:ind w:firstLine="480" w:firstLineChars="200"/>
        <w:rPr>
          <w:rFonts w:cs="Times New Roman"/>
          <w:color w:val="auto"/>
          <w:sz w:val="24"/>
          <w:szCs w:val="24"/>
        </w:rPr>
      </w:pPr>
      <w:r>
        <w:rPr>
          <w:rFonts w:cs="Times New Roman"/>
          <w:color w:val="auto"/>
          <w:sz w:val="24"/>
          <w:szCs w:val="24"/>
        </w:rPr>
        <w:t>检验方法：检查抽样检验报告。</w:t>
      </w:r>
    </w:p>
    <w:p>
      <w:pPr>
        <w:spacing w:line="300" w:lineRule="auto"/>
        <w:ind w:firstLine="480" w:firstLineChars="200"/>
        <w:rPr>
          <w:rFonts w:cs="Times New Roman"/>
          <w:color w:val="auto"/>
          <w:sz w:val="24"/>
          <w:szCs w:val="24"/>
        </w:rPr>
      </w:pPr>
      <w:r>
        <w:rPr>
          <w:rFonts w:cs="Times New Roman"/>
          <w:color w:val="auto"/>
          <w:sz w:val="24"/>
          <w:szCs w:val="24"/>
        </w:rPr>
        <w:t>4）</w:t>
      </w:r>
      <w:r>
        <w:rPr>
          <w:rFonts w:hint="eastAsia" w:cs="Times New Roman"/>
          <w:color w:val="auto"/>
          <w:sz w:val="24"/>
          <w:szCs w:val="24"/>
        </w:rPr>
        <w:t>钢筋套筒灌浆连接、浆锚搭接连接及钢筋集中约束搭接连接施工过程中，应强化过程控制并宜采用实体局部钻孔或其他方法抽样检测其灌浆饱满度。</w:t>
      </w:r>
    </w:p>
    <w:p>
      <w:pPr>
        <w:spacing w:line="300" w:lineRule="auto"/>
        <w:ind w:firstLine="480" w:firstLineChars="200"/>
        <w:rPr>
          <w:rFonts w:cs="Times New Roman"/>
          <w:color w:val="auto"/>
          <w:sz w:val="24"/>
          <w:szCs w:val="24"/>
        </w:rPr>
      </w:pPr>
      <w:r>
        <w:rPr>
          <w:rFonts w:hint="eastAsia" w:cs="Times New Roman"/>
          <w:color w:val="auto"/>
          <w:sz w:val="24"/>
          <w:szCs w:val="24"/>
        </w:rPr>
        <w:t>检查数量：抽样检查，每检验批应按照《混凝土结构现场检测技术标准》GB/T 50784中施工质量检测抽取预制构件总数，随机抽检，且每层不少于一个构件。首层装配式混凝土结构作为一个检验批，其它层由套筒和灌浆料型号、灌浆工艺相同，基本连续作业的楼层构成一个检验批。</w:t>
      </w:r>
    </w:p>
    <w:p>
      <w:pPr>
        <w:spacing w:line="300" w:lineRule="auto"/>
        <w:ind w:firstLine="480" w:firstLineChars="200"/>
        <w:rPr>
          <w:rFonts w:cs="Times New Roman"/>
          <w:color w:val="auto"/>
          <w:sz w:val="24"/>
          <w:szCs w:val="24"/>
        </w:rPr>
      </w:pPr>
      <w:r>
        <w:rPr>
          <w:rFonts w:hint="eastAsia" w:cs="Times New Roman"/>
          <w:color w:val="auto"/>
          <w:sz w:val="24"/>
          <w:szCs w:val="24"/>
        </w:rPr>
        <w:t>采用连通腔灌浆的每个灌浆仓的套简检测数量不应少于该仓套筒总数的30%，且不应少于3个；被检测套筒应包含灌浆口处套筒、距离灌浆口套筒最远处的套筒；对受检构件中采用单独灌浆方式灌浆的套筒，套筒检测数量不应少于该构件单独灌浆套筒总数的30%，且不宜少于3个。</w:t>
      </w:r>
    </w:p>
    <w:p>
      <w:pPr>
        <w:spacing w:line="300" w:lineRule="auto"/>
        <w:ind w:firstLine="480" w:firstLineChars="200"/>
        <w:rPr>
          <w:rFonts w:cs="Times New Roman"/>
          <w:color w:val="auto"/>
          <w:sz w:val="24"/>
          <w:szCs w:val="24"/>
        </w:rPr>
      </w:pPr>
      <w:r>
        <w:rPr>
          <w:rFonts w:hint="eastAsia" w:cs="Times New Roman"/>
          <w:color w:val="auto"/>
          <w:sz w:val="24"/>
          <w:szCs w:val="24"/>
        </w:rPr>
        <w:t>检验方法：检查灌浆施工记录、监理旁站记录及有关灌浆饱满度检验报告；对抽检部位的灌浆套筒或镀锌金属波纹管饱满度检测，按《装配式住宅建筑检测技术标准》JGJ/T 485或《装配式混凝土结构检测标准》T/CECS 1189执行。</w:t>
      </w:r>
    </w:p>
    <w:p>
      <w:pPr>
        <w:spacing w:line="300" w:lineRule="auto"/>
        <w:ind w:firstLine="480" w:firstLineChars="200"/>
        <w:rPr>
          <w:rFonts w:cs="Times New Roman"/>
          <w:color w:val="auto"/>
          <w:sz w:val="24"/>
          <w:szCs w:val="24"/>
        </w:rPr>
      </w:pPr>
      <w:r>
        <w:rPr>
          <w:rFonts w:cs="Times New Roman"/>
          <w:color w:val="auto"/>
          <w:sz w:val="24"/>
          <w:szCs w:val="24"/>
        </w:rPr>
        <w:t>5）预制构件底部接缝座浆料强度应满足设计要求及本指南有关规定。</w:t>
      </w:r>
    </w:p>
    <w:p>
      <w:pPr>
        <w:spacing w:line="300" w:lineRule="auto"/>
        <w:ind w:firstLine="480" w:firstLineChars="200"/>
        <w:rPr>
          <w:rFonts w:cs="Times New Roman"/>
          <w:color w:val="auto"/>
          <w:sz w:val="24"/>
          <w:szCs w:val="24"/>
        </w:rPr>
      </w:pPr>
      <w:r>
        <w:rPr>
          <w:rFonts w:cs="Times New Roman"/>
          <w:color w:val="auto"/>
          <w:sz w:val="24"/>
          <w:szCs w:val="24"/>
        </w:rPr>
        <w:t>检查数量：按检验批，以每层为一检验批；每检验批应制作1组边长为70.7mm的立方体试件，标准养护28d后进行抗压强度试验。</w:t>
      </w:r>
    </w:p>
    <w:p>
      <w:pPr>
        <w:spacing w:line="300" w:lineRule="auto"/>
        <w:ind w:firstLine="480" w:firstLineChars="200"/>
        <w:rPr>
          <w:rFonts w:cs="Times New Roman"/>
          <w:color w:val="auto"/>
          <w:sz w:val="24"/>
          <w:szCs w:val="24"/>
        </w:rPr>
      </w:pPr>
      <w:r>
        <w:rPr>
          <w:rFonts w:cs="Times New Roman"/>
          <w:color w:val="auto"/>
          <w:sz w:val="24"/>
          <w:szCs w:val="24"/>
        </w:rPr>
        <w:t>检验方法：检查座浆料强度试验报告。</w:t>
      </w:r>
    </w:p>
    <w:p>
      <w:pPr>
        <w:spacing w:line="300" w:lineRule="auto"/>
        <w:outlineLvl w:val="2"/>
        <w:rPr>
          <w:rFonts w:cs="Times New Roman"/>
          <w:color w:val="auto"/>
          <w:sz w:val="24"/>
          <w:szCs w:val="24"/>
        </w:rPr>
      </w:pPr>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w:t>
      </w:r>
      <w:r>
        <w:rPr>
          <w:rFonts w:cs="Times New Roman"/>
          <w:color w:val="auto"/>
          <w:sz w:val="24"/>
          <w:szCs w:val="24"/>
        </w:rPr>
        <w:t>.8</w:t>
      </w:r>
      <w:r>
        <w:rPr>
          <w:rFonts w:hint="eastAsia" w:cs="Times New Roman"/>
          <w:color w:val="auto"/>
          <w:sz w:val="24"/>
          <w:szCs w:val="24"/>
        </w:rPr>
        <w:t xml:space="preserve"> 叠合剪力墙后浇混凝土质量</w:t>
      </w:r>
    </w:p>
    <w:p>
      <w:pPr>
        <w:spacing w:line="300" w:lineRule="auto"/>
        <w:ind w:firstLine="480" w:firstLineChars="200"/>
        <w:rPr>
          <w:rFonts w:cs="Times New Roman"/>
          <w:color w:val="auto"/>
          <w:sz w:val="24"/>
          <w:szCs w:val="24"/>
        </w:rPr>
      </w:pPr>
      <w:r>
        <w:rPr>
          <w:rFonts w:hint="eastAsia" w:cs="Times New Roman"/>
          <w:color w:val="auto"/>
          <w:sz w:val="24"/>
          <w:szCs w:val="24"/>
        </w:rPr>
        <w:t>叠合剪力墙空腔中</w:t>
      </w:r>
      <w:r>
        <w:rPr>
          <w:rFonts w:cs="Times New Roman"/>
          <w:color w:val="auto"/>
          <w:sz w:val="24"/>
          <w:szCs w:val="24"/>
        </w:rPr>
        <w:t>现浇</w:t>
      </w:r>
      <w:r>
        <w:rPr>
          <w:rFonts w:hint="eastAsia" w:cs="Times New Roman"/>
          <w:color w:val="auto"/>
          <w:sz w:val="24"/>
          <w:szCs w:val="24"/>
        </w:rPr>
        <w:t>混凝土强度应满足设计要求，</w:t>
      </w:r>
      <w:r>
        <w:rPr>
          <w:rFonts w:cs="Times New Roman"/>
          <w:color w:val="auto"/>
          <w:sz w:val="24"/>
          <w:szCs w:val="24"/>
        </w:rPr>
        <w:t>空腔内混凝土应密实与构件的结合面应无缺陷。</w:t>
      </w:r>
    </w:p>
    <w:p>
      <w:pPr>
        <w:spacing w:line="300" w:lineRule="auto"/>
        <w:ind w:firstLine="480" w:firstLineChars="200"/>
        <w:rPr>
          <w:rFonts w:cs="Times New Roman"/>
          <w:color w:val="auto"/>
          <w:sz w:val="24"/>
          <w:szCs w:val="24"/>
        </w:rPr>
      </w:pPr>
      <w:r>
        <w:rPr>
          <w:rFonts w:hint="eastAsia" w:cs="Times New Roman"/>
          <w:color w:val="auto"/>
          <w:sz w:val="24"/>
          <w:szCs w:val="24"/>
        </w:rPr>
        <w:t>检查数量：a）</w:t>
      </w:r>
      <w:r>
        <w:rPr>
          <w:rFonts w:cs="Times New Roman"/>
          <w:color w:val="auto"/>
          <w:sz w:val="24"/>
          <w:szCs w:val="24"/>
        </w:rPr>
        <w:t>叠合剪力墙空腔中现浇混凝土强度应按照</w:t>
      </w:r>
      <w:r>
        <w:rPr>
          <w:rFonts w:hint="eastAsia" w:cs="Times New Roman"/>
          <w:color w:val="auto"/>
          <w:sz w:val="24"/>
          <w:szCs w:val="24"/>
        </w:rPr>
        <w:t>《混凝土结构工程施工质量验收规范》GB 50204留置试件；</w:t>
      </w:r>
    </w:p>
    <w:p>
      <w:pPr>
        <w:spacing w:line="300" w:lineRule="auto"/>
        <w:ind w:firstLine="480" w:firstLineChars="200"/>
        <w:rPr>
          <w:rFonts w:cs="Times New Roman"/>
          <w:color w:val="auto"/>
          <w:sz w:val="24"/>
          <w:szCs w:val="24"/>
        </w:rPr>
      </w:pPr>
      <w:r>
        <w:rPr>
          <w:rFonts w:cs="Times New Roman"/>
          <w:color w:val="auto"/>
          <w:sz w:val="24"/>
          <w:szCs w:val="24"/>
        </w:rPr>
        <w:t>b</w:t>
      </w:r>
      <w:r>
        <w:rPr>
          <w:rFonts w:hint="eastAsia" w:cs="Times New Roman"/>
          <w:color w:val="auto"/>
          <w:sz w:val="24"/>
          <w:szCs w:val="24"/>
        </w:rPr>
        <w:t>）抽样检查，每检验批应按照《混凝土结构现场检测技术标准》GB/T 50784中施工质量检测抽取预制构件总数，随机抽检，且每层不少于一个构件。首层装配式混凝土结构作为一个检验批，其它层由构件型号、施工工艺相同，基本连续作业的楼层构成一个检验批。</w:t>
      </w:r>
    </w:p>
    <w:p>
      <w:pPr>
        <w:spacing w:line="300" w:lineRule="auto"/>
        <w:ind w:firstLine="480" w:firstLineChars="200"/>
        <w:rPr>
          <w:rFonts w:cs="Times New Roman"/>
          <w:color w:val="auto"/>
          <w:sz w:val="24"/>
          <w:szCs w:val="24"/>
        </w:rPr>
      </w:pPr>
      <w:r>
        <w:rPr>
          <w:rFonts w:cs="Times New Roman"/>
          <w:color w:val="auto"/>
          <w:sz w:val="24"/>
          <w:szCs w:val="24"/>
        </w:rPr>
        <w:t>检验方法：</w:t>
      </w:r>
      <w:r>
        <w:rPr>
          <w:rFonts w:hint="eastAsia" w:cs="Times New Roman"/>
          <w:color w:val="auto"/>
          <w:sz w:val="24"/>
          <w:szCs w:val="24"/>
        </w:rPr>
        <w:t>检查灌浆施工记录、监理旁站记录及有空腔内混凝土试块强度报告、结合面质量检验报告。</w:t>
      </w:r>
    </w:p>
    <w:p>
      <w:pPr>
        <w:spacing w:line="300" w:lineRule="auto"/>
        <w:ind w:firstLine="480" w:firstLineChars="200"/>
        <w:rPr>
          <w:rFonts w:cs="Times New Roman"/>
          <w:color w:val="auto"/>
          <w:sz w:val="24"/>
          <w:szCs w:val="24"/>
        </w:rPr>
      </w:pPr>
      <w:r>
        <w:rPr>
          <w:rFonts w:cs="Times New Roman"/>
          <w:color w:val="auto"/>
          <w:sz w:val="24"/>
          <w:szCs w:val="24"/>
        </w:rPr>
        <w:t>a）</w:t>
      </w:r>
      <w:r>
        <w:rPr>
          <w:rFonts w:hint="eastAsia" w:cs="Times New Roman"/>
          <w:color w:val="auto"/>
          <w:sz w:val="24"/>
          <w:szCs w:val="24"/>
        </w:rPr>
        <w:t>叠合剪力墙空腔中现浇混凝土强度按照《</w:t>
      </w:r>
      <w:r>
        <w:rPr>
          <w:rFonts w:cs="Times New Roman"/>
          <w:color w:val="auto"/>
          <w:sz w:val="24"/>
          <w:szCs w:val="24"/>
        </w:rPr>
        <w:t>混凝土强度检验评定标准》GB/T 50107的有关规定进行评定</w:t>
      </w:r>
      <w:r>
        <w:rPr>
          <w:rFonts w:hint="eastAsia" w:cs="Times New Roman"/>
          <w:color w:val="auto"/>
          <w:sz w:val="24"/>
          <w:szCs w:val="24"/>
        </w:rPr>
        <w:t>；预留试块的抗压强度不合格时，宜采用钻芯法检测空腔内现浇混凝土的抗压强度，并应符合《混凝土结构现场检测技术标准》GB/T 50784的规定，当芯样尺寸不满足GB/T 50784的要求时，参考《装配式混凝土结构检测标准》</w:t>
      </w:r>
      <w:r>
        <w:rPr>
          <w:rFonts w:cs="Times New Roman"/>
          <w:color w:val="auto"/>
          <w:sz w:val="24"/>
          <w:szCs w:val="24"/>
        </w:rPr>
        <w:t>T/CECS 1189中“直径</w:t>
      </w:r>
      <w:r>
        <w:rPr>
          <w:rFonts w:hint="eastAsia" w:cs="Times New Roman"/>
          <w:color w:val="auto"/>
          <w:sz w:val="24"/>
          <w:szCs w:val="24"/>
        </w:rPr>
        <w:t>50mm</w:t>
      </w:r>
      <w:r>
        <w:rPr>
          <w:rFonts w:cs="Times New Roman"/>
          <w:color w:val="auto"/>
          <w:sz w:val="24"/>
          <w:szCs w:val="24"/>
        </w:rPr>
        <w:t>芯样钻芯法检测混凝土强度”的规定；</w:t>
      </w:r>
    </w:p>
    <w:p>
      <w:pPr>
        <w:spacing w:line="300" w:lineRule="auto"/>
        <w:ind w:firstLine="480" w:firstLineChars="200"/>
        <w:rPr>
          <w:rFonts w:cs="Times New Roman"/>
          <w:color w:val="auto"/>
          <w:sz w:val="24"/>
          <w:szCs w:val="24"/>
        </w:rPr>
      </w:pPr>
      <w:r>
        <w:rPr>
          <w:rFonts w:cs="Times New Roman"/>
          <w:color w:val="auto"/>
          <w:sz w:val="24"/>
          <w:szCs w:val="24"/>
        </w:rPr>
        <w:t>b）</w:t>
      </w:r>
      <w:r>
        <w:rPr>
          <w:rFonts w:hint="eastAsia" w:cs="Times New Roman"/>
          <w:color w:val="auto"/>
          <w:sz w:val="24"/>
          <w:szCs w:val="24"/>
        </w:rPr>
        <w:t>空腔内混凝土及其结合面质量，按照《装配式混凝土结构检测标准》</w:t>
      </w:r>
      <w:r>
        <w:rPr>
          <w:rFonts w:cs="Times New Roman"/>
          <w:color w:val="auto"/>
          <w:sz w:val="24"/>
          <w:szCs w:val="24"/>
        </w:rPr>
        <w:t>T/CECS 1189中“混凝土内部结合面缺陷检测”的规定。</w:t>
      </w:r>
    </w:p>
    <w:p>
      <w:pPr>
        <w:spacing w:line="300" w:lineRule="auto"/>
        <w:outlineLvl w:val="2"/>
        <w:rPr>
          <w:rFonts w:cs="Times New Roman"/>
          <w:color w:val="auto"/>
          <w:sz w:val="24"/>
          <w:szCs w:val="24"/>
        </w:rPr>
      </w:pPr>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1.9剪力墙</w:t>
      </w:r>
      <w:r>
        <w:rPr>
          <w:rFonts w:cs="Times New Roman"/>
          <w:color w:val="auto"/>
          <w:sz w:val="24"/>
          <w:szCs w:val="24"/>
        </w:rPr>
        <w:t>底部接缝质量</w:t>
      </w:r>
    </w:p>
    <w:p>
      <w:pPr>
        <w:spacing w:line="300" w:lineRule="auto"/>
        <w:ind w:firstLine="482"/>
        <w:rPr>
          <w:rFonts w:cs="Times New Roman"/>
          <w:color w:val="auto"/>
          <w:sz w:val="24"/>
          <w:szCs w:val="24"/>
        </w:rPr>
      </w:pPr>
      <w:r>
        <w:rPr>
          <w:rFonts w:hint="eastAsia" w:cs="Times New Roman"/>
          <w:color w:val="auto"/>
          <w:sz w:val="24"/>
          <w:szCs w:val="24"/>
        </w:rPr>
        <w:t>检查数量：每检验批应按照《混凝土结构现场检测技术标准》GB/T 50784中施工质量检测抽取预制构件总数，随机抽检，且每层不少于一个构件。首层装配式混凝土结构作为一个检验批，其它层由构件型号、施工工艺相同，基本连续作业的楼层构成一个检验批。</w:t>
      </w:r>
    </w:p>
    <w:p>
      <w:pPr>
        <w:spacing w:line="300" w:lineRule="auto"/>
        <w:ind w:firstLine="482"/>
        <w:rPr>
          <w:rFonts w:cs="Times New Roman"/>
          <w:color w:val="auto"/>
          <w:sz w:val="24"/>
          <w:szCs w:val="24"/>
        </w:rPr>
      </w:pPr>
      <w:r>
        <w:rPr>
          <w:rFonts w:hint="eastAsia" w:cs="Times New Roman"/>
          <w:color w:val="auto"/>
          <w:sz w:val="24"/>
          <w:szCs w:val="24"/>
        </w:rPr>
        <w:t>检验方法：检查灌浆施工记录、监理旁站记录及有关底部接缝质量检验报告；试验方法按照《装配式混凝土结构检测标准》T/CECS 1189。</w:t>
      </w:r>
    </w:p>
    <w:p>
      <w:pPr>
        <w:spacing w:line="300" w:lineRule="auto"/>
        <w:outlineLvl w:val="2"/>
        <w:rPr>
          <w:rFonts w:cs="Times New Roman"/>
          <w:color w:val="auto"/>
          <w:sz w:val="24"/>
          <w:szCs w:val="24"/>
        </w:rPr>
      </w:pPr>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1.10 叠合板结合面质量</w:t>
      </w:r>
    </w:p>
    <w:p>
      <w:pPr>
        <w:spacing w:line="300" w:lineRule="auto"/>
        <w:ind w:firstLine="480" w:firstLineChars="200"/>
        <w:rPr>
          <w:rFonts w:cs="Times New Roman"/>
          <w:color w:val="auto"/>
          <w:sz w:val="24"/>
          <w:szCs w:val="24"/>
        </w:rPr>
      </w:pPr>
      <w:r>
        <w:rPr>
          <w:rFonts w:hint="eastAsia" w:cs="Times New Roman"/>
          <w:color w:val="auto"/>
          <w:sz w:val="24"/>
          <w:szCs w:val="24"/>
        </w:rPr>
        <w:t>检查数量：每检验批应按照《混凝土结构现场检测技术标准》GB/T 50784中施工质量检测抽取预制构件总数，随机抽检，且每层不少于一个构件。首层装配式混凝土结构作为一个检验批，其它层由构件型号、施工工艺相同，基本连续作业的楼层构成一个检验批。</w:t>
      </w:r>
    </w:p>
    <w:p>
      <w:pPr>
        <w:spacing w:line="300" w:lineRule="auto"/>
        <w:ind w:firstLine="480" w:firstLineChars="200"/>
        <w:rPr>
          <w:rFonts w:cs="Times New Roman"/>
          <w:color w:val="auto"/>
          <w:sz w:val="24"/>
          <w:szCs w:val="24"/>
        </w:rPr>
      </w:pPr>
      <w:r>
        <w:rPr>
          <w:rFonts w:hint="eastAsia" w:cs="Times New Roman"/>
          <w:color w:val="auto"/>
          <w:sz w:val="24"/>
          <w:szCs w:val="24"/>
        </w:rPr>
        <w:t>检验方法：检查灌浆施工记录、监理旁站记录及有关结合面质量检验报告；按《装配式住宅建筑检测技术标准》JGJ/T 485、《装配式混凝土结构检测标准》T/CECS 1189执行。</w:t>
      </w:r>
    </w:p>
    <w:p>
      <w:pPr>
        <w:spacing w:line="300" w:lineRule="auto"/>
        <w:outlineLvl w:val="2"/>
        <w:rPr>
          <w:rFonts w:cs="Times New Roman"/>
          <w:color w:val="auto"/>
          <w:sz w:val="24"/>
          <w:szCs w:val="24"/>
        </w:rPr>
      </w:pPr>
      <w:bookmarkStart w:id="162" w:name="_Toc113869173"/>
      <w:bookmarkStart w:id="163" w:name="_Toc9472"/>
      <w:bookmarkStart w:id="164" w:name="_Toc113869351"/>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w:t>
      </w:r>
      <w:r>
        <w:rPr>
          <w:rFonts w:cs="Times New Roman"/>
          <w:color w:val="auto"/>
          <w:sz w:val="24"/>
          <w:szCs w:val="24"/>
        </w:rPr>
        <w:t>.</w:t>
      </w:r>
      <w:r>
        <w:rPr>
          <w:rFonts w:hint="eastAsia" w:cs="Times New Roman"/>
          <w:color w:val="auto"/>
          <w:sz w:val="24"/>
          <w:szCs w:val="24"/>
        </w:rPr>
        <w:t>11</w:t>
      </w:r>
      <w:r>
        <w:rPr>
          <w:rFonts w:cs="Times New Roman"/>
          <w:color w:val="auto"/>
          <w:sz w:val="24"/>
          <w:szCs w:val="24"/>
        </w:rPr>
        <w:t>外墙板接缝防水性能</w:t>
      </w:r>
      <w:bookmarkEnd w:id="162"/>
      <w:bookmarkEnd w:id="163"/>
      <w:bookmarkEnd w:id="164"/>
    </w:p>
    <w:p>
      <w:pPr>
        <w:spacing w:line="300" w:lineRule="auto"/>
        <w:ind w:firstLine="480" w:firstLineChars="200"/>
        <w:rPr>
          <w:rFonts w:cs="Times New Roman"/>
          <w:color w:val="auto"/>
          <w:sz w:val="24"/>
          <w:szCs w:val="24"/>
        </w:rPr>
      </w:pPr>
      <w:r>
        <w:rPr>
          <w:rFonts w:cs="Times New Roman"/>
          <w:color w:val="auto"/>
          <w:sz w:val="24"/>
          <w:szCs w:val="24"/>
        </w:rPr>
        <w:t>外墙板接缝的防水性能应符合设计要求。</w:t>
      </w:r>
    </w:p>
    <w:p>
      <w:pPr>
        <w:spacing w:line="300" w:lineRule="auto"/>
        <w:ind w:firstLine="480" w:firstLineChars="200"/>
        <w:rPr>
          <w:rFonts w:cs="Times New Roman"/>
          <w:color w:val="auto"/>
          <w:sz w:val="24"/>
          <w:szCs w:val="24"/>
        </w:rPr>
      </w:pPr>
      <w:r>
        <w:rPr>
          <w:rFonts w:cs="Times New Roman"/>
          <w:color w:val="auto"/>
          <w:sz w:val="24"/>
          <w:szCs w:val="24"/>
        </w:rPr>
        <w:t>检查数量：按批检验。每1000</w:t>
      </w:r>
      <w:r>
        <w:rPr>
          <w:rFonts w:hint="eastAsia" w:cs="Times New Roman"/>
          <w:color w:val="auto"/>
          <w:sz w:val="24"/>
          <w:szCs w:val="24"/>
        </w:rPr>
        <w:t>m</w:t>
      </w:r>
      <w:r>
        <w:rPr>
          <w:rFonts w:hint="eastAsia" w:cs="Times New Roman"/>
          <w:color w:val="auto"/>
          <w:sz w:val="24"/>
          <w:szCs w:val="24"/>
          <w:vertAlign w:val="superscript"/>
        </w:rPr>
        <w:t>2</w:t>
      </w:r>
      <w:r>
        <w:rPr>
          <w:rFonts w:cs="Times New Roman"/>
          <w:color w:val="auto"/>
          <w:sz w:val="24"/>
          <w:szCs w:val="24"/>
        </w:rPr>
        <w:t>外墙(含窗）面积应划分为一个检验批，不足1000</w:t>
      </w:r>
      <w:r>
        <w:rPr>
          <w:rFonts w:hint="eastAsia" w:cs="Times New Roman"/>
          <w:color w:val="auto"/>
          <w:sz w:val="24"/>
          <w:szCs w:val="24"/>
        </w:rPr>
        <w:t>m</w:t>
      </w:r>
      <w:r>
        <w:rPr>
          <w:rFonts w:hint="eastAsia" w:cs="Times New Roman"/>
          <w:color w:val="auto"/>
          <w:sz w:val="24"/>
          <w:szCs w:val="24"/>
          <w:vertAlign w:val="superscript"/>
        </w:rPr>
        <w:t>2</w:t>
      </w:r>
      <w:r>
        <w:rPr>
          <w:rFonts w:cs="Times New Roman"/>
          <w:color w:val="auto"/>
          <w:sz w:val="24"/>
          <w:szCs w:val="24"/>
        </w:rPr>
        <w:t>时也应划分为一个检验批；每个检验批应至少抽查一处，抽查部位应为相邻两层4块墙板形成的水平和竖向十字接缝区域，面积不得少于10m</w:t>
      </w:r>
      <w:r>
        <w:rPr>
          <w:rFonts w:cs="Times New Roman"/>
          <w:color w:val="auto"/>
          <w:sz w:val="24"/>
          <w:szCs w:val="24"/>
          <w:vertAlign w:val="superscript"/>
        </w:rPr>
        <w:t>2</w:t>
      </w:r>
      <w:r>
        <w:rPr>
          <w:rFonts w:cs="Times New Roman"/>
          <w:color w:val="auto"/>
          <w:sz w:val="24"/>
          <w:szCs w:val="24"/>
        </w:rPr>
        <w:t>。</w:t>
      </w:r>
    </w:p>
    <w:p>
      <w:pPr>
        <w:spacing w:line="300" w:lineRule="auto"/>
        <w:ind w:firstLine="480" w:firstLineChars="200"/>
        <w:rPr>
          <w:rFonts w:cs="Times New Roman"/>
          <w:color w:val="auto"/>
          <w:sz w:val="24"/>
          <w:szCs w:val="24"/>
        </w:rPr>
      </w:pPr>
      <w:r>
        <w:rPr>
          <w:rFonts w:cs="Times New Roman"/>
          <w:color w:val="auto"/>
          <w:sz w:val="24"/>
          <w:szCs w:val="24"/>
        </w:rPr>
        <w:t>检验方法：检查现场淋水试验报告</w:t>
      </w:r>
      <w:r>
        <w:rPr>
          <w:rFonts w:hint="eastAsia" w:cs="Times New Roman"/>
          <w:color w:val="auto"/>
          <w:sz w:val="24"/>
          <w:szCs w:val="24"/>
        </w:rPr>
        <w:t>，</w:t>
      </w:r>
      <w:r>
        <w:rPr>
          <w:rFonts w:cs="Times New Roman"/>
          <w:color w:val="auto"/>
          <w:sz w:val="24"/>
          <w:szCs w:val="24"/>
        </w:rPr>
        <w:t>试验方法</w:t>
      </w:r>
      <w:r>
        <w:rPr>
          <w:rFonts w:hint="eastAsia" w:cs="Times New Roman"/>
          <w:color w:val="auto"/>
          <w:sz w:val="24"/>
          <w:szCs w:val="24"/>
        </w:rPr>
        <w:t>按照《装配式混凝土结构检测标准》T/CECS 1189</w:t>
      </w:r>
      <w:r>
        <w:rPr>
          <w:rFonts w:cs="Times New Roman"/>
          <w:color w:val="auto"/>
          <w:sz w:val="24"/>
          <w:szCs w:val="24"/>
        </w:rPr>
        <w:t>。</w:t>
      </w:r>
    </w:p>
    <w:p>
      <w:pPr>
        <w:spacing w:line="300" w:lineRule="auto"/>
        <w:outlineLvl w:val="2"/>
        <w:rPr>
          <w:rFonts w:cs="Times New Roman"/>
          <w:color w:val="auto"/>
          <w:sz w:val="24"/>
          <w:szCs w:val="24"/>
        </w:rPr>
      </w:pPr>
      <w:bookmarkStart w:id="165" w:name="_Toc113869174"/>
      <w:bookmarkStart w:id="166" w:name="_Toc14871"/>
      <w:bookmarkStart w:id="167" w:name="_Toc113869352"/>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w:t>
      </w:r>
      <w:r>
        <w:rPr>
          <w:rFonts w:cs="Times New Roman"/>
          <w:color w:val="auto"/>
          <w:sz w:val="24"/>
          <w:szCs w:val="24"/>
        </w:rPr>
        <w:t>.</w:t>
      </w:r>
      <w:r>
        <w:rPr>
          <w:rFonts w:hint="eastAsia" w:cs="Times New Roman"/>
          <w:color w:val="auto"/>
          <w:sz w:val="24"/>
          <w:szCs w:val="24"/>
        </w:rPr>
        <w:t>12</w:t>
      </w:r>
      <w:r>
        <w:rPr>
          <w:rFonts w:cs="Times New Roman"/>
          <w:color w:val="auto"/>
          <w:sz w:val="24"/>
          <w:szCs w:val="24"/>
        </w:rPr>
        <w:t>密封胶质量检验</w:t>
      </w:r>
      <w:bookmarkEnd w:id="165"/>
      <w:bookmarkEnd w:id="166"/>
      <w:bookmarkEnd w:id="167"/>
    </w:p>
    <w:p>
      <w:pPr>
        <w:spacing w:line="300" w:lineRule="auto"/>
        <w:ind w:firstLine="480" w:firstLineChars="200"/>
        <w:rPr>
          <w:rFonts w:cs="Times New Roman"/>
          <w:color w:val="auto"/>
          <w:sz w:val="24"/>
          <w:szCs w:val="24"/>
        </w:rPr>
      </w:pPr>
      <w:r>
        <w:rPr>
          <w:rFonts w:cs="Times New Roman"/>
          <w:color w:val="auto"/>
          <w:sz w:val="24"/>
          <w:szCs w:val="24"/>
        </w:rPr>
        <w:t>预制构件干式连接处的密封胶打注应饱满、密实、连续、均匀、无气泡，宽度和深度符合要求。</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检验方法：观察检查、钢尺检查。</w:t>
      </w:r>
    </w:p>
    <w:p>
      <w:pPr>
        <w:spacing w:line="300" w:lineRule="auto"/>
        <w:rPr>
          <w:rFonts w:cs="Times New Roman"/>
          <w:color w:val="auto"/>
          <w:sz w:val="24"/>
          <w:szCs w:val="24"/>
        </w:rPr>
      </w:pPr>
      <w:r>
        <w:rPr>
          <w:rFonts w:hint="eastAsia" w:cs="Times New Roman"/>
          <w:color w:val="auto"/>
          <w:sz w:val="24"/>
          <w:szCs w:val="24"/>
        </w:rPr>
        <w:t>5.3.1.13 预制构件临时固定措施的安装质量应符合施工方案的要求。</w:t>
      </w:r>
    </w:p>
    <w:p>
      <w:pPr>
        <w:spacing w:line="300" w:lineRule="auto"/>
        <w:ind w:firstLine="480" w:firstLineChars="200"/>
        <w:rPr>
          <w:rFonts w:cs="Times New Roman"/>
          <w:color w:val="auto"/>
          <w:sz w:val="24"/>
          <w:szCs w:val="24"/>
        </w:rPr>
      </w:pPr>
      <w:r>
        <w:rPr>
          <w:rFonts w:hint="eastAsia" w:cs="Times New Roman"/>
          <w:color w:val="auto"/>
          <w:sz w:val="24"/>
          <w:szCs w:val="24"/>
        </w:rPr>
        <w:t>检测数量：全数检查。</w:t>
      </w:r>
    </w:p>
    <w:p>
      <w:pPr>
        <w:spacing w:line="300" w:lineRule="auto"/>
        <w:ind w:firstLine="480" w:firstLineChars="200"/>
        <w:rPr>
          <w:rFonts w:cs="Times New Roman"/>
          <w:color w:val="auto"/>
          <w:sz w:val="24"/>
          <w:szCs w:val="24"/>
        </w:rPr>
      </w:pPr>
      <w:r>
        <w:rPr>
          <w:rFonts w:hint="eastAsia" w:cs="Times New Roman"/>
          <w:color w:val="auto"/>
          <w:sz w:val="24"/>
          <w:szCs w:val="24"/>
        </w:rPr>
        <w:t>检验方法：观察。</w:t>
      </w:r>
    </w:p>
    <w:p>
      <w:pPr>
        <w:spacing w:line="300" w:lineRule="auto"/>
        <w:jc w:val="center"/>
        <w:rPr>
          <w:rFonts w:cs="Times New Roman"/>
          <w:color w:val="auto"/>
          <w:sz w:val="24"/>
          <w:szCs w:val="24"/>
        </w:rPr>
      </w:pPr>
      <w:r>
        <w:rPr>
          <w:rFonts w:cs="Times New Roman"/>
          <w:color w:val="auto"/>
          <w:sz w:val="24"/>
          <w:szCs w:val="24"/>
        </w:rPr>
        <w:t>（Ⅱ）一般项目</w:t>
      </w:r>
    </w:p>
    <w:p>
      <w:pPr>
        <w:spacing w:line="300" w:lineRule="auto"/>
        <w:outlineLvl w:val="2"/>
        <w:rPr>
          <w:rFonts w:cs="Times New Roman"/>
          <w:color w:val="auto"/>
          <w:sz w:val="24"/>
          <w:szCs w:val="24"/>
        </w:rPr>
      </w:pPr>
      <w:bookmarkStart w:id="168" w:name="_Toc113869175"/>
      <w:bookmarkStart w:id="169" w:name="_Toc27419"/>
      <w:bookmarkStart w:id="170" w:name="_Toc113869353"/>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w:t>
      </w:r>
      <w:r>
        <w:rPr>
          <w:rFonts w:cs="Times New Roman"/>
          <w:color w:val="auto"/>
          <w:sz w:val="24"/>
          <w:szCs w:val="24"/>
        </w:rPr>
        <w:t>.1</w:t>
      </w:r>
      <w:r>
        <w:rPr>
          <w:rFonts w:hint="eastAsia" w:cs="Times New Roman"/>
          <w:color w:val="auto"/>
          <w:sz w:val="24"/>
          <w:szCs w:val="24"/>
        </w:rPr>
        <w:t>4</w:t>
      </w:r>
      <w:r>
        <w:rPr>
          <w:rFonts w:cs="Times New Roman"/>
          <w:color w:val="auto"/>
          <w:sz w:val="24"/>
          <w:szCs w:val="24"/>
        </w:rPr>
        <w:t>外观质量</w:t>
      </w:r>
      <w:bookmarkEnd w:id="168"/>
      <w:bookmarkEnd w:id="169"/>
      <w:bookmarkEnd w:id="170"/>
    </w:p>
    <w:p>
      <w:pPr>
        <w:spacing w:line="300" w:lineRule="auto"/>
        <w:ind w:firstLine="480" w:firstLineChars="200"/>
        <w:rPr>
          <w:rFonts w:cs="Times New Roman"/>
          <w:color w:val="auto"/>
          <w:sz w:val="24"/>
          <w:szCs w:val="24"/>
        </w:rPr>
      </w:pPr>
      <w:r>
        <w:rPr>
          <w:rFonts w:cs="Times New Roman"/>
          <w:color w:val="auto"/>
          <w:sz w:val="24"/>
          <w:szCs w:val="24"/>
        </w:rPr>
        <w:t>装配式混凝土结构施工后，其外观质量不应有严重缺陷。</w:t>
      </w:r>
    </w:p>
    <w:p>
      <w:pPr>
        <w:spacing w:line="300" w:lineRule="auto"/>
        <w:ind w:firstLine="480" w:firstLineChars="200"/>
        <w:rPr>
          <w:rFonts w:cs="Times New Roman"/>
          <w:color w:val="auto"/>
          <w:sz w:val="24"/>
          <w:szCs w:val="24"/>
        </w:rPr>
      </w:pPr>
      <w:r>
        <w:rPr>
          <w:rFonts w:cs="Times New Roman"/>
          <w:color w:val="auto"/>
          <w:sz w:val="24"/>
          <w:szCs w:val="24"/>
        </w:rPr>
        <w:t>检查数量：全数检查。</w:t>
      </w:r>
    </w:p>
    <w:p>
      <w:pPr>
        <w:spacing w:line="300" w:lineRule="auto"/>
        <w:ind w:firstLine="480" w:firstLineChars="200"/>
        <w:rPr>
          <w:rFonts w:cs="Times New Roman"/>
          <w:color w:val="auto"/>
          <w:sz w:val="24"/>
          <w:szCs w:val="24"/>
        </w:rPr>
      </w:pPr>
      <w:r>
        <w:rPr>
          <w:rFonts w:cs="Times New Roman"/>
          <w:color w:val="auto"/>
          <w:sz w:val="24"/>
          <w:szCs w:val="24"/>
        </w:rPr>
        <w:t>检验方法：观察；检查处理记录。</w:t>
      </w:r>
    </w:p>
    <w:p>
      <w:pPr>
        <w:spacing w:line="300" w:lineRule="auto"/>
        <w:outlineLvl w:val="2"/>
        <w:rPr>
          <w:rFonts w:cs="Times New Roman"/>
          <w:color w:val="auto"/>
          <w:sz w:val="24"/>
          <w:szCs w:val="24"/>
        </w:rPr>
      </w:pPr>
      <w:bookmarkStart w:id="171" w:name="_Toc113869176"/>
      <w:bookmarkStart w:id="172" w:name="_Toc113869354"/>
      <w:bookmarkStart w:id="173" w:name="_Toc10411"/>
      <w:r>
        <w:rPr>
          <w:rFonts w:hint="eastAsia" w:cs="Times New Roman"/>
          <w:color w:val="auto"/>
          <w:sz w:val="24"/>
          <w:szCs w:val="24"/>
        </w:rPr>
        <w:t>5</w:t>
      </w:r>
      <w:r>
        <w:rPr>
          <w:rFonts w:cs="Times New Roman"/>
          <w:color w:val="auto"/>
          <w:sz w:val="24"/>
          <w:szCs w:val="24"/>
        </w:rPr>
        <w:t>.3.</w:t>
      </w:r>
      <w:r>
        <w:rPr>
          <w:rFonts w:hint="eastAsia" w:cs="Times New Roman"/>
          <w:color w:val="auto"/>
          <w:sz w:val="24"/>
          <w:szCs w:val="24"/>
        </w:rPr>
        <w:t>1</w:t>
      </w:r>
      <w:r>
        <w:rPr>
          <w:rFonts w:cs="Times New Roman"/>
          <w:color w:val="auto"/>
          <w:sz w:val="24"/>
          <w:szCs w:val="24"/>
        </w:rPr>
        <w:t>.1</w:t>
      </w:r>
      <w:r>
        <w:rPr>
          <w:rFonts w:hint="eastAsia" w:cs="Times New Roman"/>
          <w:color w:val="auto"/>
          <w:sz w:val="24"/>
          <w:szCs w:val="24"/>
        </w:rPr>
        <w:t>5</w:t>
      </w:r>
      <w:r>
        <w:rPr>
          <w:rFonts w:cs="Times New Roman"/>
          <w:color w:val="auto"/>
          <w:sz w:val="24"/>
          <w:szCs w:val="24"/>
        </w:rPr>
        <w:t>预制构件位置、尺寸偏差</w:t>
      </w:r>
      <w:bookmarkEnd w:id="171"/>
      <w:bookmarkEnd w:id="172"/>
      <w:bookmarkEnd w:id="173"/>
    </w:p>
    <w:p>
      <w:pPr>
        <w:spacing w:line="300" w:lineRule="auto"/>
        <w:ind w:firstLine="480" w:firstLineChars="200"/>
        <w:rPr>
          <w:rFonts w:cs="Times New Roman"/>
          <w:color w:val="auto"/>
          <w:sz w:val="24"/>
          <w:szCs w:val="24"/>
        </w:rPr>
      </w:pPr>
      <w:r>
        <w:rPr>
          <w:rFonts w:cs="Times New Roman"/>
          <w:color w:val="auto"/>
          <w:sz w:val="24"/>
          <w:szCs w:val="24"/>
        </w:rPr>
        <w:t>装配式混凝土结构施工后，预制构件位置、尺寸偏差及检验方法应符合设计要求；当设计无具体要求时，应符合现行国家标准《装配式混凝土建筑技术标准》GB/T 51231的有关规定。</w:t>
      </w:r>
    </w:p>
    <w:p>
      <w:pPr>
        <w:spacing w:line="300" w:lineRule="auto"/>
        <w:ind w:firstLine="480" w:firstLineChars="200"/>
        <w:rPr>
          <w:rFonts w:cs="Times New Roman"/>
          <w:color w:val="auto"/>
          <w:sz w:val="24"/>
          <w:szCs w:val="24"/>
        </w:rPr>
      </w:pPr>
      <w:r>
        <w:rPr>
          <w:rFonts w:cs="Times New Roman"/>
          <w:color w:val="auto"/>
          <w:sz w:val="24"/>
          <w:szCs w:val="24"/>
        </w:rPr>
        <w:t>检查数量：按楼层、结构缝或施工段划分检验批。同一检验批内，对梁、柱，应抽查构件数量的10%，且不少于3件；对墙和板，应按有代表性的自然间抽查10</w:t>
      </w:r>
      <w:r>
        <w:rPr>
          <w:rFonts w:hint="eastAsia" w:cs="Times New Roman"/>
          <w:color w:val="auto"/>
          <w:sz w:val="24"/>
          <w:szCs w:val="24"/>
        </w:rPr>
        <w:t>%</w:t>
      </w:r>
      <w:r>
        <w:rPr>
          <w:rFonts w:cs="Times New Roman"/>
          <w:color w:val="auto"/>
          <w:sz w:val="24"/>
          <w:szCs w:val="24"/>
        </w:rPr>
        <w:t>，且不少3间；对大空间结构，墙可按相邻轴线间高度5m左右划分检查面，板可按纵、横轴线划分检查面，抽查10%，且均不少于3面。</w:t>
      </w:r>
    </w:p>
    <w:p>
      <w:pPr>
        <w:spacing w:line="300" w:lineRule="auto"/>
        <w:rPr>
          <w:rFonts w:cs="Times New Roman"/>
          <w:color w:val="auto"/>
          <w:sz w:val="24"/>
          <w:szCs w:val="24"/>
        </w:rPr>
      </w:pPr>
      <w:r>
        <w:rPr>
          <w:rFonts w:cs="Times New Roman"/>
          <w:color w:val="auto"/>
          <w:sz w:val="24"/>
          <w:szCs w:val="24"/>
        </w:rPr>
        <w:t xml:space="preserve">    检验方法：应按现行国家标准《装配式混凝土建筑技术标准》GB/T 51231的有关规定执行。</w:t>
      </w:r>
    </w:p>
    <w:p>
      <w:pPr>
        <w:pStyle w:val="4"/>
        <w:spacing w:before="156" w:after="156" w:line="300" w:lineRule="auto"/>
        <w:rPr>
          <w:rFonts w:cs="Times New Roman"/>
          <w:color w:val="auto"/>
          <w:sz w:val="24"/>
          <w:szCs w:val="24"/>
        </w:rPr>
      </w:pPr>
      <w:bookmarkStart w:id="174" w:name="_Toc113869356"/>
      <w:bookmarkStart w:id="175" w:name="_Toc147952067"/>
      <w:r>
        <w:rPr>
          <w:rFonts w:cs="Times New Roman"/>
          <w:color w:val="auto"/>
          <w:sz w:val="24"/>
          <w:szCs w:val="24"/>
        </w:rPr>
        <w:t>结构实体</w:t>
      </w:r>
      <w:bookmarkEnd w:id="174"/>
      <w:bookmarkEnd w:id="175"/>
    </w:p>
    <w:p>
      <w:pPr>
        <w:spacing w:line="300" w:lineRule="auto"/>
        <w:outlineLvl w:val="2"/>
        <w:rPr>
          <w:rFonts w:cs="Times New Roman"/>
          <w:color w:val="auto"/>
          <w:sz w:val="24"/>
          <w:szCs w:val="24"/>
        </w:rPr>
      </w:pPr>
      <w:bookmarkStart w:id="176" w:name="_Toc113869357"/>
      <w:bookmarkStart w:id="177" w:name="_Toc20184"/>
      <w:bookmarkStart w:id="178" w:name="_Toc113869179"/>
      <w:r>
        <w:rPr>
          <w:rFonts w:hint="eastAsia" w:cs="Times New Roman"/>
          <w:color w:val="auto"/>
          <w:sz w:val="24"/>
          <w:szCs w:val="24"/>
        </w:rPr>
        <w:t>5.4.1 对涉及装配整体式混凝土结构安全有代表性的部位应进行结构实体检验。结构实体检验应包括混凝土强度、钢筋布置、结构位置与尺寸偏差及合同约定的其他项目。结构实体检验应制定专项方案，并有监理单位（建设单位）审核批准后实施，其中的柱截面尺寸、柱垂直度、墙厚、梁高、层高等结构实体检验项目可由监理单位组织实施，板厚、混凝土强度、钢筋布置等应由具有相应资质的检验检测机构完成。</w:t>
      </w:r>
    </w:p>
    <w:p>
      <w:pPr>
        <w:spacing w:line="300" w:lineRule="auto"/>
        <w:outlineLvl w:val="2"/>
        <w:rPr>
          <w:rFonts w:cs="Times New Roman"/>
          <w:color w:val="auto"/>
          <w:sz w:val="24"/>
          <w:szCs w:val="24"/>
        </w:rPr>
      </w:pPr>
      <w:r>
        <w:rPr>
          <w:rFonts w:hint="eastAsia" w:cs="Times New Roman"/>
          <w:color w:val="auto"/>
          <w:sz w:val="24"/>
          <w:szCs w:val="24"/>
        </w:rPr>
        <w:t>5</w:t>
      </w:r>
      <w:r>
        <w:rPr>
          <w:rFonts w:cs="Times New Roman"/>
          <w:color w:val="auto"/>
          <w:sz w:val="24"/>
          <w:szCs w:val="24"/>
        </w:rPr>
        <w:t>.4.</w:t>
      </w:r>
      <w:r>
        <w:rPr>
          <w:rFonts w:hint="eastAsia" w:cs="Times New Roman"/>
          <w:color w:val="auto"/>
          <w:sz w:val="24"/>
          <w:szCs w:val="24"/>
        </w:rPr>
        <w:t>2结构位置与尺寸偏差</w:t>
      </w:r>
    </w:p>
    <w:p>
      <w:pPr>
        <w:pStyle w:val="2"/>
        <w:spacing w:line="300" w:lineRule="auto"/>
        <w:ind w:left="0" w:leftChars="0"/>
        <w:rPr>
          <w:rFonts w:cs="Times New Roman"/>
          <w:color w:val="auto"/>
          <w:sz w:val="24"/>
          <w:szCs w:val="24"/>
        </w:rPr>
      </w:pPr>
      <w:r>
        <w:rPr>
          <w:rFonts w:hint="eastAsia" w:cs="Times New Roman"/>
          <w:color w:val="auto"/>
          <w:sz w:val="24"/>
          <w:szCs w:val="24"/>
        </w:rPr>
        <w:t>5.4.2.1装配式混凝土结构的结构位置与尺寸偏差实体检验按照《混凝土结构工程施工质量验收规范》GB 50204 附录F的要求，其中板厚和叠合梁的梁高应由具有相应资质的检验检测机构完成。</w:t>
      </w:r>
    </w:p>
    <w:p>
      <w:pPr>
        <w:pStyle w:val="2"/>
        <w:spacing w:line="300" w:lineRule="auto"/>
        <w:ind w:left="0" w:leftChars="0"/>
        <w:rPr>
          <w:rFonts w:cs="Times New Roman"/>
          <w:color w:val="auto"/>
          <w:sz w:val="24"/>
          <w:szCs w:val="24"/>
        </w:rPr>
      </w:pPr>
      <w:r>
        <w:rPr>
          <w:rFonts w:hint="eastAsia" w:cs="Times New Roman"/>
          <w:color w:val="auto"/>
          <w:sz w:val="24"/>
          <w:szCs w:val="24"/>
        </w:rPr>
        <w:t>5.4.2.2板厚和叠合梁的梁高</w:t>
      </w:r>
    </w:p>
    <w:p>
      <w:pPr>
        <w:pStyle w:val="2"/>
        <w:spacing w:line="300" w:lineRule="auto"/>
        <w:ind w:left="0" w:leftChars="0" w:firstLine="480" w:firstLineChars="200"/>
        <w:rPr>
          <w:rFonts w:cs="Times New Roman"/>
          <w:color w:val="auto"/>
          <w:sz w:val="24"/>
          <w:szCs w:val="24"/>
        </w:rPr>
      </w:pPr>
      <w:r>
        <w:rPr>
          <w:rFonts w:hint="eastAsia" w:cs="Times New Roman"/>
          <w:color w:val="auto"/>
          <w:sz w:val="24"/>
          <w:szCs w:val="24"/>
        </w:rPr>
        <w:t>板厚和叠合梁的梁高应符合《混凝土结构工程施工质量验收规范》GB 50204中现浇混凝土结构尺寸允许偏差要求。</w:t>
      </w:r>
    </w:p>
    <w:p>
      <w:pPr>
        <w:pStyle w:val="2"/>
        <w:spacing w:line="300" w:lineRule="auto"/>
        <w:ind w:left="0" w:leftChars="0" w:firstLine="480" w:firstLineChars="200"/>
        <w:rPr>
          <w:rFonts w:cs="Times New Roman"/>
          <w:color w:val="auto"/>
          <w:sz w:val="24"/>
          <w:szCs w:val="24"/>
        </w:rPr>
      </w:pPr>
      <w:r>
        <w:rPr>
          <w:rFonts w:hint="eastAsia" w:cs="Times New Roman"/>
          <w:color w:val="auto"/>
          <w:sz w:val="24"/>
          <w:szCs w:val="24"/>
        </w:rPr>
        <w:t>检查数量：构件的选取应分布均匀。梁应抽取构件数量的1%，且不少于3个构件；板应抽取有代表性的自然间抽查1</w:t>
      </w:r>
      <w:r>
        <w:rPr>
          <w:rFonts w:cs="Times New Roman"/>
          <w:color w:val="auto"/>
          <w:sz w:val="24"/>
          <w:szCs w:val="24"/>
        </w:rPr>
        <w:t>%</w:t>
      </w:r>
      <w:r>
        <w:rPr>
          <w:rFonts w:hint="eastAsia" w:cs="Times New Roman"/>
          <w:color w:val="auto"/>
          <w:sz w:val="24"/>
          <w:szCs w:val="24"/>
        </w:rPr>
        <w:t>，且不少于</w:t>
      </w:r>
      <w:r>
        <w:rPr>
          <w:rFonts w:cs="Times New Roman"/>
          <w:color w:val="auto"/>
          <w:sz w:val="24"/>
          <w:szCs w:val="24"/>
        </w:rPr>
        <w:t>3</w:t>
      </w:r>
      <w:r>
        <w:rPr>
          <w:rFonts w:hint="eastAsia" w:cs="Times New Roman"/>
          <w:color w:val="auto"/>
          <w:sz w:val="24"/>
          <w:szCs w:val="24"/>
        </w:rPr>
        <w:t>间。检验批中叠合构件的比例按照水平预制构件数量占水平构件总数的比例确定。</w:t>
      </w:r>
    </w:p>
    <w:p>
      <w:pPr>
        <w:pStyle w:val="2"/>
        <w:spacing w:line="300" w:lineRule="auto"/>
        <w:ind w:left="0" w:leftChars="0" w:firstLine="480" w:firstLineChars="200"/>
        <w:rPr>
          <w:rFonts w:cs="Times New Roman"/>
          <w:color w:val="auto"/>
          <w:sz w:val="24"/>
          <w:szCs w:val="24"/>
        </w:rPr>
      </w:pPr>
      <w:r>
        <w:rPr>
          <w:rFonts w:hint="eastAsia" w:cs="Times New Roman"/>
          <w:color w:val="auto"/>
          <w:sz w:val="24"/>
          <w:szCs w:val="24"/>
        </w:rPr>
        <w:t>检查方法：板厚和叠合梁的梁高检测方法应符合《混凝土结构工程施工质量验收规范》GB 50204 附录F的要求。板厚、梁高的检验可采用非破损的方法，所用仪器应经过校准或检定，操作应符合相关标准的规定。</w:t>
      </w:r>
    </w:p>
    <w:p>
      <w:pPr>
        <w:spacing w:line="300" w:lineRule="auto"/>
        <w:outlineLvl w:val="2"/>
        <w:rPr>
          <w:rFonts w:cs="Times New Roman"/>
          <w:color w:val="auto"/>
          <w:sz w:val="24"/>
          <w:szCs w:val="24"/>
        </w:rPr>
      </w:pPr>
      <w:r>
        <w:rPr>
          <w:rFonts w:hint="eastAsia" w:cs="Times New Roman"/>
          <w:color w:val="auto"/>
          <w:sz w:val="24"/>
          <w:szCs w:val="24"/>
        </w:rPr>
        <w:t>5</w:t>
      </w:r>
      <w:r>
        <w:rPr>
          <w:rFonts w:cs="Times New Roman"/>
          <w:color w:val="auto"/>
          <w:sz w:val="24"/>
          <w:szCs w:val="24"/>
        </w:rPr>
        <w:t>.4.</w:t>
      </w:r>
      <w:r>
        <w:rPr>
          <w:rFonts w:hint="eastAsia" w:cs="Times New Roman"/>
          <w:color w:val="auto"/>
          <w:sz w:val="24"/>
          <w:szCs w:val="24"/>
        </w:rPr>
        <w:t>3混凝土抗压强度</w:t>
      </w:r>
    </w:p>
    <w:p>
      <w:pPr>
        <w:pStyle w:val="2"/>
        <w:spacing w:line="300" w:lineRule="auto"/>
        <w:ind w:left="0" w:leftChars="0"/>
        <w:rPr>
          <w:rFonts w:cs="Times New Roman"/>
          <w:color w:val="auto"/>
          <w:sz w:val="24"/>
          <w:szCs w:val="24"/>
        </w:rPr>
      </w:pPr>
      <w:r>
        <w:rPr>
          <w:rFonts w:hint="eastAsia" w:cs="Times New Roman"/>
          <w:color w:val="auto"/>
          <w:sz w:val="24"/>
          <w:szCs w:val="24"/>
        </w:rPr>
        <w:t>5.4.3.1梁构件</w:t>
      </w:r>
    </w:p>
    <w:p>
      <w:pPr>
        <w:spacing w:line="300" w:lineRule="auto"/>
        <w:ind w:firstLine="480" w:firstLineChars="200"/>
        <w:rPr>
          <w:rFonts w:cs="Times New Roman"/>
          <w:color w:val="auto"/>
          <w:sz w:val="24"/>
          <w:szCs w:val="24"/>
        </w:rPr>
      </w:pPr>
      <w:r>
        <w:rPr>
          <w:rFonts w:hint="eastAsia" w:cs="Times New Roman"/>
          <w:color w:val="auto"/>
          <w:sz w:val="24"/>
          <w:szCs w:val="24"/>
        </w:rPr>
        <w:t>梁构件的混凝土抗压强度满足设计要求。</w:t>
      </w:r>
    </w:p>
    <w:p>
      <w:pPr>
        <w:spacing w:line="300" w:lineRule="auto"/>
        <w:ind w:firstLine="480" w:firstLineChars="200"/>
        <w:rPr>
          <w:rFonts w:cs="Times New Roman"/>
          <w:color w:val="auto"/>
          <w:sz w:val="24"/>
          <w:szCs w:val="24"/>
        </w:rPr>
      </w:pPr>
      <w:r>
        <w:rPr>
          <w:rFonts w:hint="eastAsia" w:cs="Times New Roman"/>
          <w:color w:val="auto"/>
          <w:sz w:val="24"/>
          <w:szCs w:val="24"/>
        </w:rPr>
        <w:t>检查数量：每检验批应按照《混凝土结构现场检测技术标准》GB/T 50784中施工质量检测类确定抽样总数量，检验批中叠合梁构件抽检比例按照预制梁构件数量占梁构件总数的比例确定。</w:t>
      </w:r>
    </w:p>
    <w:p>
      <w:pPr>
        <w:spacing w:line="300" w:lineRule="auto"/>
        <w:ind w:firstLine="480" w:firstLineChars="200"/>
        <w:rPr>
          <w:rFonts w:cs="Times New Roman"/>
          <w:color w:val="auto"/>
          <w:sz w:val="24"/>
          <w:szCs w:val="24"/>
        </w:rPr>
      </w:pPr>
      <w:r>
        <w:rPr>
          <w:rFonts w:hint="eastAsia" w:cs="Times New Roman"/>
          <w:color w:val="auto"/>
          <w:sz w:val="24"/>
          <w:szCs w:val="24"/>
        </w:rPr>
        <w:t>检验方法：按照回弹法或钻芯法，符合《回弹法检测混凝土抗压强度技术规程》JGJ/T 23 或《钻芯法检测混凝土强度技术规程》JGJ/T 384。</w:t>
      </w:r>
    </w:p>
    <w:p>
      <w:pPr>
        <w:pStyle w:val="2"/>
        <w:spacing w:line="300" w:lineRule="auto"/>
        <w:ind w:left="0" w:leftChars="0"/>
        <w:rPr>
          <w:rFonts w:cs="Times New Roman"/>
          <w:color w:val="auto"/>
          <w:sz w:val="24"/>
          <w:szCs w:val="24"/>
        </w:rPr>
      </w:pPr>
      <w:r>
        <w:rPr>
          <w:rFonts w:hint="eastAsia" w:cs="Times New Roman"/>
          <w:color w:val="auto"/>
          <w:sz w:val="24"/>
          <w:szCs w:val="24"/>
        </w:rPr>
        <w:t>5.4.3.2墙、柱构件</w:t>
      </w:r>
    </w:p>
    <w:p>
      <w:pPr>
        <w:spacing w:line="300" w:lineRule="auto"/>
        <w:ind w:firstLine="480" w:firstLineChars="200"/>
        <w:rPr>
          <w:rFonts w:cs="Times New Roman"/>
          <w:color w:val="auto"/>
          <w:sz w:val="24"/>
          <w:szCs w:val="24"/>
        </w:rPr>
      </w:pPr>
      <w:r>
        <w:rPr>
          <w:rFonts w:hint="eastAsia" w:cs="Times New Roman"/>
          <w:color w:val="auto"/>
          <w:sz w:val="24"/>
          <w:szCs w:val="24"/>
        </w:rPr>
        <w:t>墙、柱构件混凝土抗压强度满足设计要求。</w:t>
      </w:r>
    </w:p>
    <w:p>
      <w:pPr>
        <w:spacing w:line="300" w:lineRule="auto"/>
        <w:ind w:firstLine="480" w:firstLineChars="200"/>
        <w:rPr>
          <w:rFonts w:cs="Times New Roman"/>
          <w:color w:val="auto"/>
          <w:sz w:val="24"/>
          <w:szCs w:val="24"/>
        </w:rPr>
      </w:pPr>
      <w:r>
        <w:rPr>
          <w:rFonts w:hint="eastAsia" w:cs="Times New Roman"/>
          <w:color w:val="auto"/>
          <w:sz w:val="24"/>
          <w:szCs w:val="24"/>
        </w:rPr>
        <w:t>检查数量：每检验批应按照《混凝土结构现场检测技术标准》GB/T 50784中施工质量检测类确定抽样总数量。预制和叠合类构件抽检比例按竖向构件预制数量占竖向构件总数的比例确定。</w:t>
      </w:r>
    </w:p>
    <w:p>
      <w:pPr>
        <w:spacing w:line="300" w:lineRule="auto"/>
        <w:ind w:firstLine="480" w:firstLineChars="200"/>
        <w:rPr>
          <w:rFonts w:cs="Times New Roman"/>
          <w:color w:val="auto"/>
          <w:sz w:val="24"/>
          <w:szCs w:val="24"/>
        </w:rPr>
      </w:pPr>
      <w:r>
        <w:rPr>
          <w:rFonts w:hint="eastAsia" w:cs="Times New Roman"/>
          <w:color w:val="auto"/>
          <w:sz w:val="24"/>
          <w:szCs w:val="24"/>
        </w:rPr>
        <w:t>检验方法：墙、柱构件混凝土抗压强度采用回弹法或钻芯法，符合《回弹法检测混凝土抗压强度技术规程》JGJ/T 23或《钻芯法检测混凝土强度技术规程》JGJ/T 384。</w:t>
      </w:r>
    </w:p>
    <w:p>
      <w:pPr>
        <w:spacing w:line="300" w:lineRule="auto"/>
        <w:outlineLvl w:val="2"/>
        <w:rPr>
          <w:rFonts w:cs="Times New Roman"/>
          <w:color w:val="auto"/>
          <w:sz w:val="24"/>
          <w:szCs w:val="24"/>
        </w:rPr>
      </w:pPr>
      <w:r>
        <w:rPr>
          <w:rFonts w:hint="eastAsia" w:cs="Times New Roman"/>
          <w:color w:val="auto"/>
          <w:sz w:val="24"/>
          <w:szCs w:val="24"/>
        </w:rPr>
        <w:t>5</w:t>
      </w:r>
      <w:r>
        <w:rPr>
          <w:rFonts w:cs="Times New Roman"/>
          <w:color w:val="auto"/>
          <w:sz w:val="24"/>
          <w:szCs w:val="24"/>
        </w:rPr>
        <w:t>.4.</w:t>
      </w:r>
      <w:r>
        <w:rPr>
          <w:rFonts w:hint="eastAsia" w:cs="Times New Roman"/>
          <w:color w:val="auto"/>
          <w:sz w:val="24"/>
          <w:szCs w:val="24"/>
        </w:rPr>
        <w:t>4混凝土中钢筋布置</w:t>
      </w:r>
    </w:p>
    <w:p>
      <w:pPr>
        <w:pStyle w:val="2"/>
        <w:spacing w:line="300" w:lineRule="auto"/>
        <w:ind w:left="0" w:leftChars="0"/>
        <w:rPr>
          <w:rFonts w:cs="Times New Roman"/>
          <w:color w:val="auto"/>
          <w:sz w:val="24"/>
          <w:szCs w:val="24"/>
        </w:rPr>
      </w:pPr>
      <w:r>
        <w:rPr>
          <w:rFonts w:hint="eastAsia" w:cs="Times New Roman"/>
          <w:color w:val="auto"/>
          <w:sz w:val="24"/>
          <w:szCs w:val="24"/>
        </w:rPr>
        <w:t>5.4.4.1板构件</w:t>
      </w:r>
    </w:p>
    <w:p>
      <w:pPr>
        <w:pStyle w:val="2"/>
        <w:spacing w:line="300" w:lineRule="auto"/>
        <w:ind w:left="0" w:leftChars="0" w:firstLine="480" w:firstLineChars="200"/>
        <w:rPr>
          <w:rFonts w:cs="Times New Roman"/>
          <w:color w:val="auto"/>
          <w:sz w:val="24"/>
          <w:szCs w:val="24"/>
        </w:rPr>
      </w:pPr>
      <w:r>
        <w:rPr>
          <w:rFonts w:hint="eastAsia" w:cs="Times New Roman"/>
          <w:color w:val="auto"/>
          <w:sz w:val="24"/>
          <w:szCs w:val="24"/>
        </w:rPr>
        <w:t>板构件底部和板面钢筋间距和保护层厚度等布置应符合设计要求，钢筋间距和保护层厚度偏差应符合《混凝土结构工程施工质量验收规范》</w:t>
      </w:r>
      <w:r>
        <w:rPr>
          <w:rFonts w:cs="Times New Roman"/>
          <w:color w:val="auto"/>
          <w:sz w:val="24"/>
          <w:szCs w:val="24"/>
        </w:rPr>
        <w:t>GB 50204的要求。</w:t>
      </w:r>
    </w:p>
    <w:p>
      <w:pPr>
        <w:spacing w:line="300" w:lineRule="auto"/>
        <w:ind w:firstLine="480" w:firstLineChars="200"/>
        <w:rPr>
          <w:rFonts w:cs="Times New Roman"/>
          <w:color w:val="auto"/>
          <w:sz w:val="24"/>
          <w:szCs w:val="24"/>
        </w:rPr>
      </w:pPr>
      <w:r>
        <w:rPr>
          <w:rFonts w:hint="eastAsia" w:cs="Times New Roman"/>
          <w:color w:val="auto"/>
          <w:sz w:val="24"/>
          <w:szCs w:val="24"/>
        </w:rPr>
        <w:t>检查数量：抽样检测，检验批中叠合构件比例按照叠合板数量占板总数的比例确定。抽取检验批中叠合板数量的10%进行板面钢筋间距和保护层厚度的检验。</w:t>
      </w:r>
    </w:p>
    <w:p>
      <w:pPr>
        <w:spacing w:line="300" w:lineRule="auto"/>
        <w:ind w:firstLine="480" w:firstLineChars="200"/>
        <w:rPr>
          <w:rFonts w:cs="Times New Roman"/>
          <w:color w:val="auto"/>
          <w:sz w:val="24"/>
          <w:szCs w:val="24"/>
        </w:rPr>
      </w:pPr>
      <w:r>
        <w:rPr>
          <w:rFonts w:hint="eastAsia" w:cs="Times New Roman"/>
          <w:color w:val="auto"/>
          <w:sz w:val="24"/>
          <w:szCs w:val="24"/>
        </w:rPr>
        <w:t>构件的选取应分布均匀。钢筋间距抽样数量为板应抽取有代表性的自然间抽查1</w:t>
      </w:r>
      <w:r>
        <w:rPr>
          <w:rFonts w:cs="Times New Roman"/>
          <w:color w:val="auto"/>
          <w:sz w:val="24"/>
          <w:szCs w:val="24"/>
        </w:rPr>
        <w:t>%</w:t>
      </w:r>
      <w:r>
        <w:rPr>
          <w:rFonts w:hint="eastAsia" w:cs="Times New Roman"/>
          <w:color w:val="auto"/>
          <w:sz w:val="24"/>
          <w:szCs w:val="24"/>
        </w:rPr>
        <w:t>，且不少于</w:t>
      </w:r>
      <w:r>
        <w:rPr>
          <w:rFonts w:cs="Times New Roman"/>
          <w:color w:val="auto"/>
          <w:sz w:val="24"/>
          <w:szCs w:val="24"/>
        </w:rPr>
        <w:t>3</w:t>
      </w:r>
      <w:r>
        <w:rPr>
          <w:rFonts w:hint="eastAsia" w:cs="Times New Roman"/>
          <w:color w:val="auto"/>
          <w:sz w:val="24"/>
          <w:szCs w:val="24"/>
        </w:rPr>
        <w:t>间。钢筋保护层厚度抽样数量为对非悬挑类板类构件，应各抽取构件数量的2%不少于5个构件；对悬挑板，应抽取构件总数的10%且不少于20个构件，少于20个时全数检验。</w:t>
      </w:r>
    </w:p>
    <w:p>
      <w:pPr>
        <w:pStyle w:val="2"/>
        <w:spacing w:line="300" w:lineRule="auto"/>
        <w:ind w:left="0" w:leftChars="0" w:firstLine="480" w:firstLineChars="200"/>
        <w:rPr>
          <w:rFonts w:cs="Times New Roman"/>
          <w:color w:val="auto"/>
          <w:sz w:val="24"/>
          <w:szCs w:val="24"/>
        </w:rPr>
      </w:pPr>
      <w:r>
        <w:rPr>
          <w:rFonts w:hint="eastAsia" w:cs="Times New Roman"/>
          <w:color w:val="auto"/>
          <w:sz w:val="24"/>
          <w:szCs w:val="24"/>
        </w:rPr>
        <w:t>检查方法：符合现行标准《混凝土结构工程施工质量验收规范》</w:t>
      </w:r>
      <w:r>
        <w:rPr>
          <w:rFonts w:cs="Times New Roman"/>
          <w:color w:val="auto"/>
          <w:sz w:val="24"/>
          <w:szCs w:val="24"/>
        </w:rPr>
        <w:t xml:space="preserve">GB 50204 </w:t>
      </w:r>
      <w:r>
        <w:rPr>
          <w:rFonts w:hint="eastAsia" w:cs="Times New Roman"/>
          <w:color w:val="auto"/>
          <w:sz w:val="24"/>
          <w:szCs w:val="24"/>
        </w:rPr>
        <w:t>附录</w:t>
      </w:r>
      <w:r>
        <w:rPr>
          <w:rFonts w:cs="Times New Roman"/>
          <w:color w:val="auto"/>
          <w:sz w:val="24"/>
          <w:szCs w:val="24"/>
        </w:rPr>
        <w:t>E</w:t>
      </w:r>
      <w:r>
        <w:rPr>
          <w:rFonts w:hint="eastAsia" w:cs="Times New Roman"/>
          <w:color w:val="auto"/>
          <w:sz w:val="24"/>
          <w:szCs w:val="24"/>
        </w:rPr>
        <w:t>和《混凝土中钢筋检测技术规程》</w:t>
      </w:r>
      <w:r>
        <w:rPr>
          <w:rFonts w:cs="Times New Roman"/>
          <w:color w:val="auto"/>
          <w:sz w:val="24"/>
          <w:szCs w:val="24"/>
        </w:rPr>
        <w:t>JGJ</w:t>
      </w:r>
      <w:r>
        <w:rPr>
          <w:rFonts w:hint="eastAsia" w:cs="Times New Roman"/>
          <w:color w:val="auto"/>
          <w:sz w:val="24"/>
          <w:szCs w:val="24"/>
        </w:rPr>
        <w:t>/</w:t>
      </w:r>
      <w:r>
        <w:rPr>
          <w:rFonts w:cs="Times New Roman"/>
          <w:color w:val="auto"/>
          <w:sz w:val="24"/>
          <w:szCs w:val="24"/>
        </w:rPr>
        <w:t>T 152</w:t>
      </w:r>
      <w:r>
        <w:rPr>
          <w:rFonts w:hint="eastAsia" w:cs="Times New Roman"/>
          <w:color w:val="auto"/>
          <w:sz w:val="24"/>
          <w:szCs w:val="24"/>
        </w:rPr>
        <w:t>相关要求。</w:t>
      </w:r>
    </w:p>
    <w:p>
      <w:pPr>
        <w:pStyle w:val="2"/>
        <w:spacing w:line="300" w:lineRule="auto"/>
        <w:ind w:left="0" w:leftChars="0"/>
        <w:rPr>
          <w:rFonts w:cs="Times New Roman"/>
          <w:color w:val="auto"/>
          <w:sz w:val="24"/>
          <w:szCs w:val="24"/>
        </w:rPr>
      </w:pPr>
      <w:r>
        <w:rPr>
          <w:rFonts w:hint="eastAsia" w:cs="Times New Roman"/>
          <w:color w:val="auto"/>
          <w:sz w:val="24"/>
          <w:szCs w:val="24"/>
        </w:rPr>
        <w:t>5.4.3.2梁构件</w:t>
      </w:r>
    </w:p>
    <w:p>
      <w:pPr>
        <w:pStyle w:val="2"/>
        <w:spacing w:line="300" w:lineRule="auto"/>
        <w:ind w:left="0" w:leftChars="0" w:firstLine="480" w:firstLineChars="200"/>
        <w:rPr>
          <w:rFonts w:cs="Times New Roman"/>
          <w:color w:val="auto"/>
          <w:sz w:val="24"/>
          <w:szCs w:val="24"/>
        </w:rPr>
      </w:pPr>
      <w:r>
        <w:rPr>
          <w:rFonts w:hint="eastAsia" w:cs="Times New Roman"/>
          <w:color w:val="auto"/>
          <w:sz w:val="24"/>
          <w:szCs w:val="24"/>
        </w:rPr>
        <w:t>梁构件底部和顶部钢筋间距和保护层厚度等布置应符合设计要求，钢筋间距和保护层厚度偏差应符合《混凝土结构工程施工质量验收规范》GB 50204的要求。</w:t>
      </w:r>
    </w:p>
    <w:p>
      <w:pPr>
        <w:spacing w:line="300" w:lineRule="auto"/>
        <w:ind w:firstLine="480" w:firstLineChars="200"/>
        <w:rPr>
          <w:rFonts w:cs="Times New Roman"/>
          <w:color w:val="auto"/>
          <w:sz w:val="24"/>
          <w:szCs w:val="24"/>
        </w:rPr>
      </w:pPr>
      <w:r>
        <w:rPr>
          <w:rFonts w:hint="eastAsia" w:cs="Times New Roman"/>
          <w:color w:val="auto"/>
          <w:sz w:val="24"/>
          <w:szCs w:val="24"/>
        </w:rPr>
        <w:t>检查数量：抽样检测，检验批中叠合梁抽检比例按叠合梁占梁总数的比例确定。抽取检验批中叠合梁数量的10%进行梁顶钢筋间距和保护层厚度的检验。</w:t>
      </w:r>
    </w:p>
    <w:p>
      <w:pPr>
        <w:spacing w:line="300" w:lineRule="auto"/>
        <w:ind w:firstLine="480" w:firstLineChars="200"/>
        <w:rPr>
          <w:rFonts w:cs="Times New Roman"/>
          <w:color w:val="auto"/>
          <w:sz w:val="24"/>
          <w:szCs w:val="24"/>
        </w:rPr>
      </w:pPr>
      <w:r>
        <w:rPr>
          <w:rFonts w:hint="eastAsia" w:cs="Times New Roman"/>
          <w:color w:val="auto"/>
          <w:sz w:val="24"/>
          <w:szCs w:val="24"/>
        </w:rPr>
        <w:t>构件的选取应分布均匀。钢筋间距抽样数量为梁应抽取构件数量的1%，且不少于3个构件；钢筋保护层厚度抽样数量为对非悬挑类梁类构件，应各抽取构件数量的2%不少于5个构件；对悬挑梁，应抽取构件总数的5%且不少于10个构件。</w:t>
      </w:r>
    </w:p>
    <w:p>
      <w:pPr>
        <w:pStyle w:val="2"/>
        <w:spacing w:line="300" w:lineRule="auto"/>
        <w:ind w:left="0" w:leftChars="0" w:firstLine="480" w:firstLineChars="200"/>
        <w:rPr>
          <w:rFonts w:cs="Times New Roman"/>
          <w:color w:val="auto"/>
          <w:sz w:val="24"/>
          <w:szCs w:val="24"/>
        </w:rPr>
      </w:pPr>
      <w:r>
        <w:rPr>
          <w:rFonts w:hint="eastAsia" w:cs="Times New Roman"/>
          <w:color w:val="auto"/>
          <w:sz w:val="24"/>
          <w:szCs w:val="24"/>
        </w:rPr>
        <w:t>检查方法：符合现行标准《混凝土结构工程施工质量验收规范》</w:t>
      </w:r>
      <w:r>
        <w:rPr>
          <w:rFonts w:cs="Times New Roman"/>
          <w:color w:val="auto"/>
          <w:sz w:val="24"/>
          <w:szCs w:val="24"/>
        </w:rPr>
        <w:t xml:space="preserve">GB 50204 </w:t>
      </w:r>
      <w:r>
        <w:rPr>
          <w:rFonts w:hint="eastAsia" w:cs="Times New Roman"/>
          <w:color w:val="auto"/>
          <w:sz w:val="24"/>
          <w:szCs w:val="24"/>
        </w:rPr>
        <w:t>附录</w:t>
      </w:r>
      <w:r>
        <w:rPr>
          <w:rFonts w:cs="Times New Roman"/>
          <w:color w:val="auto"/>
          <w:sz w:val="24"/>
          <w:szCs w:val="24"/>
        </w:rPr>
        <w:t>E</w:t>
      </w:r>
      <w:r>
        <w:rPr>
          <w:rFonts w:hint="eastAsia" w:cs="Times New Roman"/>
          <w:color w:val="auto"/>
          <w:sz w:val="24"/>
          <w:szCs w:val="24"/>
        </w:rPr>
        <w:t>和《混凝土中钢筋检测技术规程》</w:t>
      </w:r>
      <w:r>
        <w:rPr>
          <w:rFonts w:cs="Times New Roman"/>
          <w:color w:val="auto"/>
          <w:sz w:val="24"/>
          <w:szCs w:val="24"/>
        </w:rPr>
        <w:t>JGJ</w:t>
      </w:r>
      <w:r>
        <w:rPr>
          <w:rFonts w:hint="eastAsia" w:cs="Times New Roman"/>
          <w:color w:val="auto"/>
          <w:sz w:val="24"/>
          <w:szCs w:val="24"/>
        </w:rPr>
        <w:t>/</w:t>
      </w:r>
      <w:r>
        <w:rPr>
          <w:rFonts w:cs="Times New Roman"/>
          <w:color w:val="auto"/>
          <w:sz w:val="24"/>
          <w:szCs w:val="24"/>
        </w:rPr>
        <w:t>T 152</w:t>
      </w:r>
      <w:r>
        <w:rPr>
          <w:rFonts w:hint="eastAsia" w:cs="Times New Roman"/>
          <w:color w:val="auto"/>
          <w:sz w:val="24"/>
          <w:szCs w:val="24"/>
        </w:rPr>
        <w:t>相关要求。</w:t>
      </w:r>
    </w:p>
    <w:p>
      <w:pPr>
        <w:pStyle w:val="2"/>
        <w:spacing w:line="300" w:lineRule="auto"/>
        <w:ind w:left="0" w:leftChars="0"/>
        <w:rPr>
          <w:rFonts w:cs="Times New Roman"/>
          <w:color w:val="auto"/>
          <w:sz w:val="24"/>
          <w:szCs w:val="24"/>
        </w:rPr>
      </w:pPr>
      <w:r>
        <w:rPr>
          <w:rFonts w:hint="eastAsia" w:cs="Times New Roman"/>
          <w:color w:val="auto"/>
          <w:sz w:val="24"/>
          <w:szCs w:val="24"/>
        </w:rPr>
        <w:t>5.4.3.3墙构件</w:t>
      </w:r>
    </w:p>
    <w:p>
      <w:pPr>
        <w:pStyle w:val="2"/>
        <w:spacing w:line="300" w:lineRule="auto"/>
        <w:ind w:left="0" w:leftChars="0" w:firstLine="480" w:firstLineChars="200"/>
        <w:rPr>
          <w:rFonts w:cs="Times New Roman"/>
          <w:color w:val="auto"/>
          <w:sz w:val="24"/>
          <w:szCs w:val="24"/>
        </w:rPr>
      </w:pPr>
      <w:r>
        <w:rPr>
          <w:rFonts w:hint="eastAsia" w:cs="Times New Roman"/>
          <w:color w:val="auto"/>
          <w:sz w:val="24"/>
          <w:szCs w:val="24"/>
        </w:rPr>
        <w:t>墙构件钢筋间距和保护层厚度等布置应符合设计要求，钢筋间距和保护层厚度偏差应符合《混凝土结构工程施工质量验收规范》GB 50204的要求</w:t>
      </w:r>
      <w:r>
        <w:rPr>
          <w:rFonts w:cs="Times New Roman"/>
          <w:color w:val="auto"/>
          <w:sz w:val="24"/>
          <w:szCs w:val="24"/>
        </w:rPr>
        <w:t>。</w:t>
      </w:r>
    </w:p>
    <w:p>
      <w:pPr>
        <w:pStyle w:val="2"/>
        <w:spacing w:line="300" w:lineRule="auto"/>
        <w:ind w:left="0" w:leftChars="0" w:firstLine="480" w:firstLineChars="200"/>
        <w:rPr>
          <w:rFonts w:cs="Times New Roman"/>
          <w:color w:val="auto"/>
          <w:sz w:val="24"/>
          <w:szCs w:val="24"/>
        </w:rPr>
      </w:pPr>
      <w:r>
        <w:rPr>
          <w:rFonts w:hint="eastAsia" w:cs="Times New Roman"/>
          <w:color w:val="auto"/>
          <w:sz w:val="24"/>
          <w:szCs w:val="24"/>
        </w:rPr>
        <w:t>检查数量：抽样检测，检验批中预制墙（叠合剪力墙）的抽检比例预制墙占竖向构件总数的比例确定。钢筋间距抽样数量要求为，墙应抽取有代表性的自然间抽查1</w:t>
      </w:r>
      <w:r>
        <w:rPr>
          <w:rFonts w:cs="Times New Roman"/>
          <w:color w:val="auto"/>
          <w:sz w:val="24"/>
          <w:szCs w:val="24"/>
        </w:rPr>
        <w:t>%</w:t>
      </w:r>
      <w:r>
        <w:rPr>
          <w:rFonts w:hint="eastAsia" w:cs="Times New Roman"/>
          <w:color w:val="auto"/>
          <w:sz w:val="24"/>
          <w:szCs w:val="24"/>
        </w:rPr>
        <w:t>，且不少于</w:t>
      </w:r>
      <w:r>
        <w:rPr>
          <w:rFonts w:cs="Times New Roman"/>
          <w:color w:val="auto"/>
          <w:sz w:val="24"/>
          <w:szCs w:val="24"/>
        </w:rPr>
        <w:t>3</w:t>
      </w:r>
      <w:r>
        <w:rPr>
          <w:rFonts w:hint="eastAsia" w:cs="Times New Roman"/>
          <w:color w:val="auto"/>
          <w:sz w:val="24"/>
          <w:szCs w:val="24"/>
        </w:rPr>
        <w:t>间。</w:t>
      </w:r>
    </w:p>
    <w:p>
      <w:pPr>
        <w:pStyle w:val="2"/>
        <w:spacing w:line="300" w:lineRule="auto"/>
        <w:ind w:left="0" w:leftChars="0" w:firstLine="480" w:firstLineChars="200"/>
        <w:rPr>
          <w:rFonts w:cs="Times New Roman"/>
          <w:color w:val="auto"/>
          <w:sz w:val="24"/>
          <w:szCs w:val="24"/>
        </w:rPr>
      </w:pPr>
      <w:r>
        <w:rPr>
          <w:rFonts w:hint="eastAsia" w:cs="Times New Roman"/>
          <w:color w:val="auto"/>
          <w:sz w:val="24"/>
          <w:szCs w:val="24"/>
        </w:rPr>
        <w:t>检查方法：符合现行标准《混凝土结构工程施工质量验收规范》</w:t>
      </w:r>
      <w:r>
        <w:rPr>
          <w:rFonts w:cs="Times New Roman"/>
          <w:color w:val="auto"/>
          <w:sz w:val="24"/>
          <w:szCs w:val="24"/>
        </w:rPr>
        <w:t xml:space="preserve">GB 50204 </w:t>
      </w:r>
      <w:r>
        <w:rPr>
          <w:rFonts w:hint="eastAsia" w:cs="Times New Roman"/>
          <w:color w:val="auto"/>
          <w:sz w:val="24"/>
          <w:szCs w:val="24"/>
        </w:rPr>
        <w:t>附录</w:t>
      </w:r>
      <w:r>
        <w:rPr>
          <w:rFonts w:cs="Times New Roman"/>
          <w:color w:val="auto"/>
          <w:sz w:val="24"/>
          <w:szCs w:val="24"/>
        </w:rPr>
        <w:t>E</w:t>
      </w:r>
      <w:r>
        <w:rPr>
          <w:rFonts w:hint="eastAsia" w:cs="Times New Roman"/>
          <w:color w:val="auto"/>
          <w:sz w:val="24"/>
          <w:szCs w:val="24"/>
        </w:rPr>
        <w:t>和《混凝土中钢筋检测技术规程》</w:t>
      </w:r>
      <w:r>
        <w:rPr>
          <w:rFonts w:cs="Times New Roman"/>
          <w:color w:val="auto"/>
          <w:sz w:val="24"/>
          <w:szCs w:val="24"/>
        </w:rPr>
        <w:t>JGJ</w:t>
      </w:r>
      <w:r>
        <w:rPr>
          <w:rFonts w:hint="eastAsia" w:cs="Times New Roman"/>
          <w:color w:val="auto"/>
          <w:sz w:val="24"/>
          <w:szCs w:val="24"/>
        </w:rPr>
        <w:t>/</w:t>
      </w:r>
      <w:r>
        <w:rPr>
          <w:rFonts w:cs="Times New Roman"/>
          <w:color w:val="auto"/>
          <w:sz w:val="24"/>
          <w:szCs w:val="24"/>
        </w:rPr>
        <w:t>T 152</w:t>
      </w:r>
      <w:r>
        <w:rPr>
          <w:rFonts w:hint="eastAsia" w:cs="Times New Roman"/>
          <w:color w:val="auto"/>
          <w:sz w:val="24"/>
          <w:szCs w:val="24"/>
        </w:rPr>
        <w:t>相关要求。</w:t>
      </w:r>
    </w:p>
    <w:bookmarkEnd w:id="176"/>
    <w:bookmarkEnd w:id="177"/>
    <w:bookmarkEnd w:id="178"/>
    <w:p>
      <w:pPr>
        <w:pStyle w:val="3"/>
        <w:spacing w:before="312" w:after="312" w:line="300" w:lineRule="auto"/>
        <w:rPr>
          <w:rFonts w:cs="Times New Roman"/>
          <w:color w:val="auto"/>
          <w:sz w:val="24"/>
          <w:szCs w:val="24"/>
        </w:rPr>
      </w:pPr>
      <w:bookmarkStart w:id="179" w:name="_Toc113869360"/>
      <w:bookmarkStart w:id="180" w:name="_Toc147952068"/>
      <w:r>
        <w:rPr>
          <w:rFonts w:cs="Times New Roman"/>
          <w:color w:val="auto"/>
          <w:sz w:val="24"/>
          <w:szCs w:val="24"/>
        </w:rPr>
        <w:t>装配率</w:t>
      </w:r>
      <w:bookmarkEnd w:id="179"/>
      <w:r>
        <w:rPr>
          <w:rFonts w:cs="Times New Roman"/>
          <w:color w:val="auto"/>
          <w:sz w:val="24"/>
          <w:szCs w:val="24"/>
        </w:rPr>
        <w:t>验收</w:t>
      </w:r>
      <w:bookmarkEnd w:id="180"/>
    </w:p>
    <w:p>
      <w:pPr>
        <w:pStyle w:val="4"/>
        <w:spacing w:before="156" w:after="156" w:line="300" w:lineRule="auto"/>
        <w:rPr>
          <w:rFonts w:cs="Times New Roman"/>
          <w:color w:val="auto"/>
          <w:sz w:val="24"/>
          <w:szCs w:val="24"/>
        </w:rPr>
      </w:pPr>
      <w:bookmarkStart w:id="181" w:name="_Toc113869183"/>
      <w:bookmarkStart w:id="182" w:name="_Toc147952069"/>
      <w:bookmarkStart w:id="183" w:name="_Toc32242"/>
      <w:bookmarkStart w:id="184" w:name="_Toc113869361"/>
      <w:r>
        <w:rPr>
          <w:rFonts w:cs="Times New Roman"/>
          <w:color w:val="auto"/>
          <w:sz w:val="24"/>
          <w:szCs w:val="24"/>
        </w:rPr>
        <w:t>一般规定</w:t>
      </w:r>
      <w:bookmarkEnd w:id="181"/>
      <w:bookmarkEnd w:id="182"/>
      <w:bookmarkEnd w:id="183"/>
      <w:bookmarkEnd w:id="184"/>
    </w:p>
    <w:p>
      <w:pPr>
        <w:spacing w:line="300" w:lineRule="auto"/>
        <w:rPr>
          <w:rFonts w:cs="Times New Roman"/>
          <w:color w:val="auto"/>
          <w:sz w:val="24"/>
          <w:szCs w:val="24"/>
        </w:rPr>
      </w:pPr>
      <w:r>
        <w:rPr>
          <w:rFonts w:hint="eastAsia" w:cs="Times New Roman"/>
          <w:color w:val="auto"/>
          <w:sz w:val="24"/>
          <w:szCs w:val="24"/>
        </w:rPr>
        <w:t>6.1.1</w:t>
      </w:r>
      <w:r>
        <w:rPr>
          <w:rFonts w:cs="Times New Roman"/>
          <w:color w:val="auto"/>
          <w:sz w:val="24"/>
          <w:szCs w:val="24"/>
        </w:rPr>
        <w:t>装配式混凝土结构施工图设计文件应通过施工图审查，设计变更</w:t>
      </w:r>
      <w:r>
        <w:rPr>
          <w:rFonts w:hint="eastAsia" w:cs="Times New Roman"/>
          <w:color w:val="auto"/>
          <w:sz w:val="24"/>
          <w:szCs w:val="24"/>
        </w:rPr>
        <w:t>不得降低原审查通过的装配率指标和楼层平面建筑外墙装配式部分面积</w:t>
      </w:r>
      <w:r>
        <w:rPr>
          <w:rFonts w:cs="Times New Roman"/>
          <w:color w:val="auto"/>
          <w:sz w:val="24"/>
          <w:szCs w:val="24"/>
        </w:rPr>
        <w:t>，装配式混凝土结构应按装配式建筑设计要求进行验收。</w:t>
      </w:r>
    </w:p>
    <w:p>
      <w:pPr>
        <w:spacing w:line="300" w:lineRule="auto"/>
        <w:rPr>
          <w:rFonts w:cs="Times New Roman"/>
          <w:color w:val="auto"/>
          <w:sz w:val="24"/>
          <w:szCs w:val="24"/>
        </w:rPr>
      </w:pPr>
      <w:r>
        <w:rPr>
          <w:rFonts w:hint="eastAsia" w:cs="Times New Roman"/>
          <w:color w:val="auto"/>
          <w:sz w:val="24"/>
          <w:szCs w:val="24"/>
        </w:rPr>
        <w:t>6.1.2</w:t>
      </w:r>
      <w:r>
        <w:rPr>
          <w:rFonts w:cs="Times New Roman"/>
          <w:color w:val="auto"/>
          <w:sz w:val="24"/>
          <w:szCs w:val="24"/>
        </w:rPr>
        <w:t>装配式混凝土结构应同时满足下列要求：</w:t>
      </w:r>
    </w:p>
    <w:p>
      <w:pPr>
        <w:spacing w:line="300" w:lineRule="auto"/>
        <w:ind w:firstLine="480" w:firstLineChars="200"/>
        <w:rPr>
          <w:rFonts w:cs="Times New Roman"/>
          <w:color w:val="auto"/>
          <w:sz w:val="24"/>
          <w:szCs w:val="24"/>
        </w:rPr>
      </w:pPr>
      <w:r>
        <w:rPr>
          <w:rFonts w:cs="Times New Roman"/>
          <w:color w:val="auto"/>
          <w:sz w:val="24"/>
          <w:szCs w:val="24"/>
        </w:rPr>
        <w:t>a）主体结构部分的评价分值不低于20分；</w:t>
      </w:r>
    </w:p>
    <w:p>
      <w:pPr>
        <w:spacing w:line="300" w:lineRule="auto"/>
        <w:ind w:firstLine="480" w:firstLineChars="200"/>
        <w:rPr>
          <w:rFonts w:cs="Times New Roman"/>
          <w:color w:val="auto"/>
          <w:sz w:val="24"/>
          <w:szCs w:val="24"/>
        </w:rPr>
      </w:pPr>
      <w:r>
        <w:rPr>
          <w:rFonts w:cs="Times New Roman"/>
          <w:color w:val="auto"/>
          <w:sz w:val="24"/>
          <w:szCs w:val="24"/>
        </w:rPr>
        <w:t>b）围护墙和内隔墙部分的评价分值不低于10分；</w:t>
      </w:r>
    </w:p>
    <w:p>
      <w:pPr>
        <w:spacing w:line="300" w:lineRule="auto"/>
        <w:ind w:firstLine="480" w:firstLineChars="200"/>
        <w:rPr>
          <w:rFonts w:cs="Times New Roman"/>
          <w:color w:val="auto"/>
          <w:sz w:val="24"/>
          <w:szCs w:val="24"/>
        </w:rPr>
      </w:pPr>
      <w:r>
        <w:rPr>
          <w:rFonts w:cs="Times New Roman"/>
          <w:color w:val="auto"/>
          <w:sz w:val="24"/>
          <w:szCs w:val="24"/>
        </w:rPr>
        <w:t>c）采用全装修；</w:t>
      </w:r>
    </w:p>
    <w:p>
      <w:pPr>
        <w:spacing w:line="300" w:lineRule="auto"/>
        <w:ind w:firstLine="480" w:firstLineChars="200"/>
        <w:rPr>
          <w:color w:val="auto"/>
        </w:rPr>
      </w:pPr>
      <w:r>
        <w:rPr>
          <w:rFonts w:cs="Times New Roman"/>
          <w:color w:val="auto"/>
          <w:sz w:val="24"/>
          <w:szCs w:val="24"/>
        </w:rPr>
        <w:t>d）</w:t>
      </w:r>
      <w:r>
        <w:rPr>
          <w:rFonts w:hint="eastAsia" w:cs="Times New Roman"/>
          <w:color w:val="auto"/>
          <w:sz w:val="24"/>
          <w:szCs w:val="24"/>
        </w:rPr>
        <w:t>采用标准化设计；</w:t>
      </w:r>
    </w:p>
    <w:p>
      <w:pPr>
        <w:spacing w:line="300" w:lineRule="auto"/>
        <w:ind w:firstLine="480" w:firstLineChars="200"/>
        <w:rPr>
          <w:rFonts w:cs="Times New Roman"/>
          <w:color w:val="auto"/>
          <w:sz w:val="24"/>
          <w:szCs w:val="24"/>
        </w:rPr>
      </w:pPr>
      <w:r>
        <w:rPr>
          <w:rFonts w:hint="eastAsia" w:cs="Times New Roman"/>
          <w:color w:val="auto"/>
          <w:sz w:val="24"/>
          <w:szCs w:val="24"/>
        </w:rPr>
        <w:t>e</w:t>
      </w:r>
      <w:r>
        <w:rPr>
          <w:rFonts w:cs="Times New Roman"/>
          <w:color w:val="auto"/>
          <w:sz w:val="24"/>
          <w:szCs w:val="24"/>
        </w:rPr>
        <w:t>）装配率不低于50％。</w:t>
      </w:r>
    </w:p>
    <w:p>
      <w:pPr>
        <w:spacing w:line="300" w:lineRule="auto"/>
        <w:rPr>
          <w:rFonts w:cs="Times New Roman"/>
          <w:color w:val="auto"/>
          <w:sz w:val="24"/>
          <w:szCs w:val="24"/>
        </w:rPr>
      </w:pPr>
      <w:r>
        <w:rPr>
          <w:rFonts w:cs="Times New Roman"/>
          <w:color w:val="auto"/>
          <w:sz w:val="24"/>
          <w:szCs w:val="24"/>
        </w:rPr>
        <w:t>6.1.3</w:t>
      </w:r>
      <w:r>
        <w:rPr>
          <w:rFonts w:hint="eastAsia" w:cs="Times New Roman"/>
          <w:color w:val="auto"/>
          <w:sz w:val="24"/>
          <w:szCs w:val="24"/>
        </w:rPr>
        <w:t>装配率验收包括主体结构、围护墙和内隔墙、装修和设备管线、设计标准化和创新项等五个方面，</w:t>
      </w:r>
      <w:r>
        <w:rPr>
          <w:rFonts w:cs="Times New Roman"/>
          <w:color w:val="auto"/>
          <w:sz w:val="24"/>
          <w:szCs w:val="24"/>
        </w:rPr>
        <w:t>装配率</w:t>
      </w:r>
      <w:r>
        <w:rPr>
          <w:rFonts w:hint="eastAsia" w:cs="Times New Roman"/>
          <w:color w:val="auto"/>
          <w:sz w:val="24"/>
          <w:szCs w:val="24"/>
        </w:rPr>
        <w:t>计算参照《</w:t>
      </w:r>
      <w:r>
        <w:rPr>
          <w:rFonts w:cs="Times New Roman"/>
          <w:color w:val="auto"/>
          <w:sz w:val="24"/>
          <w:szCs w:val="24"/>
        </w:rPr>
        <w:t>装配式建筑评价标准</w:t>
      </w:r>
      <w:r>
        <w:rPr>
          <w:rFonts w:hint="eastAsia" w:cs="Times New Roman"/>
          <w:color w:val="auto"/>
          <w:sz w:val="24"/>
          <w:szCs w:val="24"/>
        </w:rPr>
        <w:t>》（</w:t>
      </w:r>
      <w:r>
        <w:rPr>
          <w:rFonts w:cs="Times New Roman"/>
          <w:color w:val="auto"/>
          <w:sz w:val="24"/>
          <w:szCs w:val="24"/>
        </w:rPr>
        <w:t>GB/T</w:t>
      </w:r>
      <w:r>
        <w:rPr>
          <w:rFonts w:hint="eastAsia" w:cs="Times New Roman"/>
          <w:color w:val="auto"/>
          <w:sz w:val="24"/>
          <w:szCs w:val="24"/>
        </w:rPr>
        <w:t xml:space="preserve"> </w:t>
      </w:r>
      <w:r>
        <w:rPr>
          <w:rFonts w:cs="Times New Roman"/>
          <w:color w:val="auto"/>
          <w:sz w:val="24"/>
          <w:szCs w:val="24"/>
        </w:rPr>
        <w:t>51129</w:t>
      </w:r>
      <w:r>
        <w:rPr>
          <w:rFonts w:hint="eastAsia" w:cs="Times New Roman"/>
          <w:color w:val="auto"/>
          <w:sz w:val="24"/>
          <w:szCs w:val="24"/>
        </w:rPr>
        <w:t>）、《武汉市装配式建筑装配率计算细则（2023）》中的相关条款。验收时按照建筑实体的实际情况填写，计算出主体结构、围护墙和内隔墙、装修和设备管线、设计标准化和创新项的得分，并按照《武汉市装配式建筑装配率计算细则》计算装配式混凝土结构建筑的评价分值。</w:t>
      </w:r>
    </w:p>
    <w:p>
      <w:pPr>
        <w:spacing w:line="300" w:lineRule="auto"/>
        <w:rPr>
          <w:rFonts w:cs="Times New Roman"/>
          <w:color w:val="auto"/>
          <w:sz w:val="24"/>
          <w:szCs w:val="24"/>
        </w:rPr>
      </w:pPr>
      <w:bookmarkStart w:id="185" w:name="_Toc113869185"/>
      <w:bookmarkStart w:id="186" w:name="_Toc31684"/>
      <w:bookmarkStart w:id="187" w:name="_Toc113869363"/>
      <w:r>
        <w:rPr>
          <w:rFonts w:cs="Times New Roman"/>
          <w:color w:val="auto"/>
          <w:sz w:val="24"/>
          <w:szCs w:val="24"/>
        </w:rPr>
        <w:t>6.1.4</w:t>
      </w:r>
      <w:r>
        <w:rPr>
          <w:rFonts w:hint="eastAsia" w:cs="Times New Roman"/>
          <w:color w:val="auto"/>
          <w:sz w:val="24"/>
          <w:szCs w:val="24"/>
        </w:rPr>
        <w:t>评级</w:t>
      </w:r>
    </w:p>
    <w:p>
      <w:pPr>
        <w:spacing w:line="300" w:lineRule="auto"/>
        <w:ind w:firstLine="480" w:firstLineChars="200"/>
        <w:rPr>
          <w:rFonts w:cs="Times New Roman"/>
          <w:color w:val="auto"/>
          <w:sz w:val="24"/>
          <w:szCs w:val="24"/>
        </w:rPr>
      </w:pPr>
      <w:r>
        <w:rPr>
          <w:rFonts w:hint="eastAsia" w:cs="Times New Roman"/>
          <w:color w:val="auto"/>
          <w:sz w:val="24"/>
          <w:szCs w:val="24"/>
        </w:rPr>
        <w:t>当评价项目满足本标准第6.1.2条规定，且主体结构竖向构件中预制部品部件的应用比例不低于35%时，可进行装配式建筑等级评价。</w:t>
      </w:r>
    </w:p>
    <w:p>
      <w:pPr>
        <w:spacing w:line="300" w:lineRule="auto"/>
        <w:ind w:firstLine="480" w:firstLineChars="200"/>
        <w:rPr>
          <w:rFonts w:cs="Times New Roman"/>
          <w:color w:val="auto"/>
          <w:sz w:val="24"/>
          <w:szCs w:val="24"/>
        </w:rPr>
      </w:pPr>
      <w:r>
        <w:rPr>
          <w:rFonts w:hint="eastAsia" w:cs="Times New Roman"/>
          <w:color w:val="auto"/>
          <w:sz w:val="24"/>
          <w:szCs w:val="24"/>
        </w:rPr>
        <w:t>装配式建筑评价等级应划分为</w:t>
      </w:r>
      <w:r>
        <w:rPr>
          <w:rFonts w:cs="Times New Roman"/>
          <w:color w:val="auto"/>
          <w:sz w:val="24"/>
          <w:szCs w:val="24"/>
        </w:rPr>
        <w:t>A</w:t>
      </w:r>
      <w:r>
        <w:rPr>
          <w:rFonts w:hint="eastAsia" w:cs="Times New Roman"/>
          <w:color w:val="auto"/>
          <w:sz w:val="24"/>
          <w:szCs w:val="24"/>
        </w:rPr>
        <w:t>级、</w:t>
      </w:r>
      <w:r>
        <w:rPr>
          <w:rFonts w:cs="Times New Roman"/>
          <w:color w:val="auto"/>
          <w:sz w:val="24"/>
          <w:szCs w:val="24"/>
        </w:rPr>
        <w:t>AA</w:t>
      </w:r>
      <w:r>
        <w:rPr>
          <w:rFonts w:hint="eastAsia" w:cs="Times New Roman"/>
          <w:color w:val="auto"/>
          <w:sz w:val="24"/>
          <w:szCs w:val="24"/>
        </w:rPr>
        <w:t>级、</w:t>
      </w:r>
      <w:r>
        <w:rPr>
          <w:rFonts w:cs="Times New Roman"/>
          <w:color w:val="auto"/>
          <w:sz w:val="24"/>
          <w:szCs w:val="24"/>
        </w:rPr>
        <w:t>AAA</w:t>
      </w:r>
      <w:r>
        <w:rPr>
          <w:rFonts w:hint="eastAsia" w:cs="Times New Roman"/>
          <w:color w:val="auto"/>
          <w:sz w:val="24"/>
          <w:szCs w:val="24"/>
        </w:rPr>
        <w:t>级，并应符合下列规定：</w:t>
      </w:r>
    </w:p>
    <w:p>
      <w:pPr>
        <w:spacing w:line="300" w:lineRule="auto"/>
        <w:ind w:firstLine="480" w:firstLineChars="200"/>
        <w:rPr>
          <w:rFonts w:cs="Times New Roman"/>
          <w:color w:val="auto"/>
          <w:sz w:val="24"/>
          <w:szCs w:val="24"/>
        </w:rPr>
      </w:pPr>
      <w:r>
        <w:rPr>
          <w:rFonts w:cs="Times New Roman"/>
          <w:color w:val="auto"/>
          <w:sz w:val="24"/>
          <w:szCs w:val="24"/>
        </w:rPr>
        <w:t>1</w:t>
      </w:r>
      <w:r>
        <w:rPr>
          <w:rFonts w:hint="eastAsia" w:cs="Times New Roman"/>
          <w:color w:val="auto"/>
          <w:sz w:val="24"/>
          <w:szCs w:val="24"/>
        </w:rPr>
        <w:t>）装配率为</w:t>
      </w:r>
      <w:r>
        <w:rPr>
          <w:rFonts w:cs="Times New Roman"/>
          <w:color w:val="auto"/>
          <w:sz w:val="24"/>
          <w:szCs w:val="24"/>
        </w:rPr>
        <w:t>60</w:t>
      </w:r>
      <w:r>
        <w:rPr>
          <w:rFonts w:hint="eastAsia" w:cs="Times New Roman"/>
          <w:color w:val="auto"/>
          <w:sz w:val="24"/>
          <w:szCs w:val="24"/>
        </w:rPr>
        <w:t>％～75％时，评价为</w:t>
      </w:r>
      <w:r>
        <w:rPr>
          <w:rFonts w:cs="Times New Roman"/>
          <w:color w:val="auto"/>
          <w:sz w:val="24"/>
          <w:szCs w:val="24"/>
        </w:rPr>
        <w:t>A</w:t>
      </w:r>
      <w:r>
        <w:rPr>
          <w:rFonts w:hint="eastAsia" w:cs="Times New Roman"/>
          <w:color w:val="auto"/>
          <w:sz w:val="24"/>
          <w:szCs w:val="24"/>
        </w:rPr>
        <w:t>级装配式建筑；</w:t>
      </w:r>
    </w:p>
    <w:p>
      <w:pPr>
        <w:spacing w:line="300" w:lineRule="auto"/>
        <w:ind w:firstLine="480" w:firstLineChars="200"/>
        <w:rPr>
          <w:rFonts w:cs="Times New Roman"/>
          <w:color w:val="auto"/>
          <w:sz w:val="24"/>
          <w:szCs w:val="24"/>
        </w:rPr>
      </w:pPr>
      <w:r>
        <w:rPr>
          <w:rFonts w:cs="Times New Roman"/>
          <w:color w:val="auto"/>
          <w:sz w:val="24"/>
          <w:szCs w:val="24"/>
        </w:rPr>
        <w:t>2</w:t>
      </w:r>
      <w:r>
        <w:rPr>
          <w:rFonts w:hint="eastAsia" w:cs="Times New Roman"/>
          <w:color w:val="auto"/>
          <w:sz w:val="24"/>
          <w:szCs w:val="24"/>
        </w:rPr>
        <w:t>）装配率为76％～90％时，评价为</w:t>
      </w:r>
      <w:r>
        <w:rPr>
          <w:rFonts w:cs="Times New Roman"/>
          <w:color w:val="auto"/>
          <w:sz w:val="24"/>
          <w:szCs w:val="24"/>
        </w:rPr>
        <w:t>AA</w:t>
      </w:r>
      <w:r>
        <w:rPr>
          <w:rFonts w:hint="eastAsia" w:cs="Times New Roman"/>
          <w:color w:val="auto"/>
          <w:sz w:val="24"/>
          <w:szCs w:val="24"/>
        </w:rPr>
        <w:t>级装配式建筑；</w:t>
      </w:r>
    </w:p>
    <w:p>
      <w:pPr>
        <w:spacing w:line="300" w:lineRule="auto"/>
        <w:ind w:firstLine="480" w:firstLineChars="200"/>
        <w:rPr>
          <w:rFonts w:cs="Times New Roman"/>
          <w:color w:val="auto"/>
          <w:sz w:val="24"/>
          <w:szCs w:val="24"/>
        </w:rPr>
      </w:pPr>
      <w:r>
        <w:rPr>
          <w:rFonts w:cs="Times New Roman"/>
          <w:color w:val="auto"/>
          <w:sz w:val="24"/>
          <w:szCs w:val="24"/>
        </w:rPr>
        <w:t>3</w:t>
      </w:r>
      <w:r>
        <w:rPr>
          <w:rFonts w:hint="eastAsia" w:cs="Times New Roman"/>
          <w:color w:val="auto"/>
          <w:sz w:val="24"/>
          <w:szCs w:val="24"/>
        </w:rPr>
        <w:t>）装配率为91％及以上时，评价为</w:t>
      </w:r>
      <w:r>
        <w:rPr>
          <w:rFonts w:cs="Times New Roman"/>
          <w:color w:val="auto"/>
          <w:sz w:val="24"/>
          <w:szCs w:val="24"/>
        </w:rPr>
        <w:t>AAA</w:t>
      </w:r>
      <w:r>
        <w:rPr>
          <w:rFonts w:hint="eastAsia" w:cs="Times New Roman"/>
          <w:color w:val="auto"/>
          <w:sz w:val="24"/>
          <w:szCs w:val="24"/>
        </w:rPr>
        <w:t>级装配式建筑；</w:t>
      </w:r>
    </w:p>
    <w:p>
      <w:pPr>
        <w:pStyle w:val="2"/>
        <w:ind w:left="0" w:leftChars="0"/>
        <w:rPr>
          <w:color w:val="auto"/>
        </w:rPr>
      </w:pPr>
    </w:p>
    <w:p>
      <w:pPr>
        <w:pStyle w:val="4"/>
        <w:spacing w:before="156" w:after="156" w:line="300" w:lineRule="auto"/>
        <w:rPr>
          <w:rFonts w:cs="Times New Roman"/>
          <w:color w:val="auto"/>
          <w:sz w:val="24"/>
          <w:szCs w:val="24"/>
        </w:rPr>
      </w:pPr>
      <w:bookmarkStart w:id="188" w:name="_Toc147952070"/>
      <w:r>
        <w:rPr>
          <w:rFonts w:hint="eastAsia" w:cs="Times New Roman"/>
          <w:color w:val="auto"/>
          <w:sz w:val="24"/>
          <w:szCs w:val="24"/>
        </w:rPr>
        <w:t>装配率验收</w:t>
      </w:r>
      <w:bookmarkEnd w:id="188"/>
    </w:p>
    <w:p>
      <w:pPr>
        <w:spacing w:line="300" w:lineRule="auto"/>
        <w:rPr>
          <w:rFonts w:cs="Times New Roman"/>
          <w:color w:val="auto"/>
          <w:sz w:val="24"/>
          <w:szCs w:val="24"/>
        </w:rPr>
      </w:pPr>
      <w:r>
        <w:rPr>
          <w:rFonts w:hint="eastAsia" w:cs="Times New Roman"/>
          <w:color w:val="auto"/>
          <w:sz w:val="24"/>
          <w:szCs w:val="24"/>
        </w:rPr>
        <w:t>6.2.1主体结构装配率验收</w:t>
      </w:r>
    </w:p>
    <w:p>
      <w:pPr>
        <w:spacing w:line="300" w:lineRule="auto"/>
        <w:ind w:firstLine="480" w:firstLineChars="200"/>
        <w:jc w:val="left"/>
        <w:rPr>
          <w:rFonts w:cs="Times New Roman"/>
          <w:color w:val="auto"/>
          <w:sz w:val="24"/>
          <w:szCs w:val="24"/>
        </w:rPr>
      </w:pPr>
      <w:r>
        <w:rPr>
          <w:rFonts w:hint="eastAsia" w:cs="Times New Roman"/>
          <w:color w:val="auto"/>
          <w:sz w:val="24"/>
          <w:szCs w:val="24"/>
        </w:rPr>
        <w:t>主体结构装配率验收参照表6-2-1进行。</w:t>
      </w:r>
    </w:p>
    <w:p>
      <w:pPr>
        <w:spacing w:line="300" w:lineRule="auto"/>
        <w:jc w:val="center"/>
        <w:rPr>
          <w:rFonts w:ascii="仿宋" w:hAnsi="仿宋" w:eastAsia="仿宋" w:cs="仿宋"/>
          <w:color w:val="auto"/>
          <w:kern w:val="0"/>
          <w:sz w:val="20"/>
          <w:szCs w:val="20"/>
        </w:rPr>
      </w:pPr>
      <w:r>
        <w:rPr>
          <w:rFonts w:hint="eastAsia" w:cs="Times New Roman"/>
          <w:color w:val="auto"/>
          <w:sz w:val="24"/>
          <w:szCs w:val="24"/>
        </w:rPr>
        <w:t>表6-2-1 装配式混凝土结构主体结构装配率验收表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154"/>
        <w:gridCol w:w="492"/>
        <w:gridCol w:w="341"/>
        <w:gridCol w:w="1421"/>
        <w:gridCol w:w="1420"/>
        <w:gridCol w:w="23"/>
        <w:gridCol w:w="927"/>
        <w:gridCol w:w="47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spacing w:line="300" w:lineRule="auto"/>
              <w:rPr>
                <w:rFonts w:cs="Times New Roman"/>
                <w:color w:val="auto"/>
                <w:sz w:val="15"/>
                <w:szCs w:val="15"/>
              </w:rPr>
            </w:pPr>
            <w:r>
              <w:rPr>
                <w:rFonts w:hint="eastAsia" w:cs="Times New Roman"/>
                <w:color w:val="auto"/>
                <w:sz w:val="15"/>
                <w:szCs w:val="15"/>
              </w:rPr>
              <w:t>工程名称</w:t>
            </w:r>
          </w:p>
        </w:tc>
        <w:tc>
          <w:tcPr>
            <w:tcW w:w="2408" w:type="dxa"/>
            <w:gridSpan w:val="4"/>
          </w:tcPr>
          <w:p>
            <w:pPr>
              <w:spacing w:line="300" w:lineRule="auto"/>
              <w:rPr>
                <w:rFonts w:cs="Times New Roman"/>
                <w:color w:val="auto"/>
                <w:sz w:val="15"/>
                <w:szCs w:val="15"/>
              </w:rPr>
            </w:pPr>
          </w:p>
        </w:tc>
        <w:tc>
          <w:tcPr>
            <w:tcW w:w="1443" w:type="dxa"/>
            <w:gridSpan w:val="2"/>
          </w:tcPr>
          <w:p>
            <w:pPr>
              <w:spacing w:line="300" w:lineRule="auto"/>
              <w:rPr>
                <w:rFonts w:cs="Times New Roman"/>
                <w:color w:val="auto"/>
                <w:sz w:val="15"/>
                <w:szCs w:val="15"/>
              </w:rPr>
            </w:pPr>
            <w:r>
              <w:rPr>
                <w:rFonts w:hint="eastAsia" w:cs="Times New Roman"/>
                <w:color w:val="auto"/>
                <w:sz w:val="15"/>
                <w:szCs w:val="15"/>
              </w:rPr>
              <w:t>施工进度</w:t>
            </w:r>
          </w:p>
        </w:tc>
        <w:tc>
          <w:tcPr>
            <w:tcW w:w="2819"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2" w:type="dxa"/>
          </w:tcPr>
          <w:p>
            <w:pPr>
              <w:spacing w:line="300" w:lineRule="auto"/>
              <w:rPr>
                <w:rFonts w:cs="Times New Roman"/>
                <w:color w:val="auto"/>
                <w:sz w:val="15"/>
                <w:szCs w:val="15"/>
              </w:rPr>
            </w:pPr>
            <w:r>
              <w:rPr>
                <w:rFonts w:hint="eastAsia" w:cs="Times New Roman"/>
                <w:color w:val="auto"/>
                <w:sz w:val="15"/>
                <w:szCs w:val="15"/>
              </w:rPr>
              <w:t>建筑面积</w:t>
            </w:r>
          </w:p>
        </w:tc>
        <w:tc>
          <w:tcPr>
            <w:tcW w:w="2408" w:type="dxa"/>
            <w:gridSpan w:val="4"/>
          </w:tcPr>
          <w:p>
            <w:pPr>
              <w:spacing w:line="300" w:lineRule="auto"/>
              <w:rPr>
                <w:rFonts w:cs="Times New Roman"/>
                <w:color w:val="auto"/>
                <w:sz w:val="15"/>
                <w:szCs w:val="15"/>
              </w:rPr>
            </w:pPr>
          </w:p>
        </w:tc>
        <w:tc>
          <w:tcPr>
            <w:tcW w:w="1443" w:type="dxa"/>
            <w:gridSpan w:val="2"/>
          </w:tcPr>
          <w:p>
            <w:pPr>
              <w:spacing w:line="300" w:lineRule="auto"/>
              <w:rPr>
                <w:rFonts w:cs="Times New Roman"/>
                <w:color w:val="auto"/>
                <w:sz w:val="15"/>
                <w:szCs w:val="15"/>
              </w:rPr>
            </w:pPr>
            <w:r>
              <w:rPr>
                <w:rFonts w:hint="eastAsia" w:cs="Times New Roman"/>
                <w:color w:val="auto"/>
                <w:sz w:val="15"/>
                <w:szCs w:val="15"/>
              </w:rPr>
              <w:t>结构层次</w:t>
            </w:r>
          </w:p>
        </w:tc>
        <w:tc>
          <w:tcPr>
            <w:tcW w:w="2819"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spacing w:line="300" w:lineRule="auto"/>
              <w:rPr>
                <w:rFonts w:cs="Times New Roman"/>
                <w:color w:val="auto"/>
                <w:sz w:val="15"/>
                <w:szCs w:val="15"/>
              </w:rPr>
            </w:pPr>
            <w:r>
              <w:rPr>
                <w:rFonts w:hint="eastAsia" w:cs="Times New Roman"/>
                <w:color w:val="auto"/>
                <w:sz w:val="15"/>
                <w:szCs w:val="15"/>
              </w:rPr>
              <w:t>建设单位</w:t>
            </w:r>
          </w:p>
        </w:tc>
        <w:tc>
          <w:tcPr>
            <w:tcW w:w="2408" w:type="dxa"/>
            <w:gridSpan w:val="4"/>
          </w:tcPr>
          <w:p>
            <w:pPr>
              <w:spacing w:line="300" w:lineRule="auto"/>
              <w:rPr>
                <w:rFonts w:cs="Times New Roman"/>
                <w:color w:val="auto"/>
                <w:sz w:val="15"/>
                <w:szCs w:val="15"/>
              </w:rPr>
            </w:pPr>
          </w:p>
        </w:tc>
        <w:tc>
          <w:tcPr>
            <w:tcW w:w="1443" w:type="dxa"/>
            <w:gridSpan w:val="2"/>
          </w:tcPr>
          <w:p>
            <w:pPr>
              <w:spacing w:line="300" w:lineRule="auto"/>
              <w:rPr>
                <w:rFonts w:cs="Times New Roman"/>
                <w:color w:val="auto"/>
                <w:sz w:val="15"/>
                <w:szCs w:val="15"/>
              </w:rPr>
            </w:pPr>
            <w:r>
              <w:rPr>
                <w:rFonts w:hint="eastAsia" w:cs="Times New Roman"/>
                <w:color w:val="auto"/>
                <w:sz w:val="15"/>
                <w:szCs w:val="15"/>
              </w:rPr>
              <w:t>设计单位</w:t>
            </w:r>
          </w:p>
        </w:tc>
        <w:tc>
          <w:tcPr>
            <w:tcW w:w="2819"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spacing w:line="300" w:lineRule="auto"/>
              <w:rPr>
                <w:rFonts w:cs="Times New Roman"/>
                <w:color w:val="auto"/>
                <w:sz w:val="15"/>
                <w:szCs w:val="15"/>
              </w:rPr>
            </w:pPr>
            <w:r>
              <w:rPr>
                <w:rFonts w:hint="eastAsia" w:cs="Times New Roman"/>
                <w:color w:val="auto"/>
                <w:sz w:val="15"/>
                <w:szCs w:val="15"/>
              </w:rPr>
              <w:t>施工单位</w:t>
            </w:r>
          </w:p>
        </w:tc>
        <w:tc>
          <w:tcPr>
            <w:tcW w:w="2408" w:type="dxa"/>
            <w:gridSpan w:val="4"/>
          </w:tcPr>
          <w:p>
            <w:pPr>
              <w:spacing w:line="300" w:lineRule="auto"/>
              <w:rPr>
                <w:rFonts w:cs="Times New Roman"/>
                <w:color w:val="auto"/>
                <w:sz w:val="15"/>
                <w:szCs w:val="15"/>
              </w:rPr>
            </w:pPr>
          </w:p>
        </w:tc>
        <w:tc>
          <w:tcPr>
            <w:tcW w:w="1443" w:type="dxa"/>
            <w:gridSpan w:val="2"/>
          </w:tcPr>
          <w:p>
            <w:pPr>
              <w:spacing w:line="300" w:lineRule="auto"/>
              <w:rPr>
                <w:rFonts w:cs="Times New Roman"/>
                <w:color w:val="auto"/>
                <w:sz w:val="15"/>
                <w:szCs w:val="15"/>
              </w:rPr>
            </w:pPr>
            <w:r>
              <w:rPr>
                <w:rFonts w:hint="eastAsia" w:cs="Times New Roman"/>
                <w:color w:val="auto"/>
                <w:sz w:val="15"/>
                <w:szCs w:val="15"/>
              </w:rPr>
              <w:t>监理单位</w:t>
            </w:r>
          </w:p>
        </w:tc>
        <w:tc>
          <w:tcPr>
            <w:tcW w:w="2819"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spacing w:line="300" w:lineRule="auto"/>
              <w:rPr>
                <w:rFonts w:cs="Times New Roman"/>
                <w:color w:val="auto"/>
                <w:sz w:val="15"/>
                <w:szCs w:val="15"/>
              </w:rPr>
            </w:pPr>
            <w:r>
              <w:rPr>
                <w:rFonts w:hint="eastAsia" w:cs="Times New Roman"/>
                <w:color w:val="auto"/>
                <w:sz w:val="15"/>
                <w:szCs w:val="15"/>
              </w:rPr>
              <w:t>构件生产企业</w:t>
            </w:r>
          </w:p>
        </w:tc>
        <w:tc>
          <w:tcPr>
            <w:tcW w:w="2408" w:type="dxa"/>
            <w:gridSpan w:val="4"/>
          </w:tcPr>
          <w:p>
            <w:pPr>
              <w:spacing w:line="300" w:lineRule="auto"/>
              <w:rPr>
                <w:rFonts w:cs="Times New Roman"/>
                <w:color w:val="auto"/>
                <w:sz w:val="15"/>
                <w:szCs w:val="15"/>
              </w:rPr>
            </w:pPr>
          </w:p>
        </w:tc>
        <w:tc>
          <w:tcPr>
            <w:tcW w:w="1443" w:type="dxa"/>
            <w:gridSpan w:val="2"/>
          </w:tcPr>
          <w:p>
            <w:pPr>
              <w:spacing w:line="300" w:lineRule="auto"/>
              <w:rPr>
                <w:rFonts w:cs="Times New Roman"/>
                <w:color w:val="auto"/>
                <w:sz w:val="15"/>
                <w:szCs w:val="15"/>
              </w:rPr>
            </w:pPr>
            <w:r>
              <w:rPr>
                <w:rFonts w:hint="eastAsia" w:cs="Times New Roman"/>
                <w:color w:val="auto"/>
                <w:sz w:val="15"/>
                <w:szCs w:val="15"/>
              </w:rPr>
              <w:t>灌浆料生产企业</w:t>
            </w:r>
          </w:p>
        </w:tc>
        <w:tc>
          <w:tcPr>
            <w:tcW w:w="2819"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spacing w:line="300" w:lineRule="auto"/>
              <w:rPr>
                <w:rFonts w:cs="Times New Roman"/>
                <w:color w:val="auto"/>
                <w:sz w:val="15"/>
                <w:szCs w:val="15"/>
              </w:rPr>
            </w:pPr>
            <w:r>
              <w:rPr>
                <w:rFonts w:hint="eastAsia" w:cs="Times New Roman"/>
                <w:color w:val="auto"/>
                <w:sz w:val="15"/>
                <w:szCs w:val="15"/>
              </w:rPr>
              <w:t>单栋建筑编号</w:t>
            </w:r>
          </w:p>
        </w:tc>
        <w:tc>
          <w:tcPr>
            <w:tcW w:w="2408" w:type="dxa"/>
            <w:gridSpan w:val="4"/>
          </w:tcPr>
          <w:p>
            <w:pPr>
              <w:spacing w:line="300" w:lineRule="auto"/>
              <w:rPr>
                <w:rFonts w:cs="Times New Roman"/>
                <w:color w:val="auto"/>
                <w:sz w:val="15"/>
                <w:szCs w:val="15"/>
              </w:rPr>
            </w:pPr>
          </w:p>
        </w:tc>
        <w:tc>
          <w:tcPr>
            <w:tcW w:w="1443" w:type="dxa"/>
            <w:gridSpan w:val="2"/>
          </w:tcPr>
          <w:p>
            <w:pPr>
              <w:spacing w:line="300" w:lineRule="auto"/>
              <w:rPr>
                <w:rFonts w:cs="Times New Roman"/>
                <w:color w:val="auto"/>
                <w:sz w:val="15"/>
                <w:szCs w:val="15"/>
              </w:rPr>
            </w:pPr>
            <w:r>
              <w:rPr>
                <w:rFonts w:hint="eastAsia" w:cs="Times New Roman"/>
                <w:color w:val="auto"/>
                <w:sz w:val="15"/>
                <w:szCs w:val="15"/>
              </w:rPr>
              <w:t>单体设计装配率</w:t>
            </w:r>
          </w:p>
        </w:tc>
        <w:tc>
          <w:tcPr>
            <w:tcW w:w="2819"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39" w:type="dxa"/>
            <w:gridSpan w:val="4"/>
            <w:vAlign w:val="center"/>
          </w:tcPr>
          <w:p>
            <w:pPr>
              <w:spacing w:line="300" w:lineRule="auto"/>
              <w:jc w:val="center"/>
              <w:rPr>
                <w:rFonts w:cs="Times New Roman"/>
                <w:color w:val="auto"/>
                <w:sz w:val="15"/>
                <w:szCs w:val="15"/>
              </w:rPr>
            </w:pPr>
            <w:r>
              <w:rPr>
                <w:rFonts w:hint="eastAsia" w:cs="Times New Roman"/>
                <w:color w:val="auto"/>
                <w:sz w:val="15"/>
                <w:szCs w:val="15"/>
              </w:rPr>
              <w:t>构件类型</w:t>
            </w:r>
          </w:p>
        </w:tc>
        <w:tc>
          <w:tcPr>
            <w:tcW w:w="1421" w:type="dxa"/>
            <w:vAlign w:val="center"/>
          </w:tcPr>
          <w:p>
            <w:pPr>
              <w:spacing w:line="300" w:lineRule="auto"/>
              <w:jc w:val="center"/>
              <w:rPr>
                <w:rFonts w:cs="Times New Roman"/>
                <w:color w:val="auto"/>
                <w:sz w:val="15"/>
                <w:szCs w:val="15"/>
              </w:rPr>
            </w:pPr>
            <w:r>
              <w:rPr>
                <w:rFonts w:hint="eastAsia" w:cs="Times New Roman"/>
                <w:color w:val="auto"/>
                <w:sz w:val="15"/>
                <w:szCs w:val="15"/>
              </w:rPr>
              <w:t>竖向构件中的预制部件体积V</w:t>
            </w:r>
            <w:r>
              <w:rPr>
                <w:rFonts w:hint="eastAsia" w:cs="Times New Roman"/>
                <w:color w:val="auto"/>
                <w:sz w:val="15"/>
                <w:szCs w:val="15"/>
                <w:vertAlign w:val="subscript"/>
              </w:rPr>
              <w:t>1a</w:t>
            </w:r>
            <w:r>
              <w:rPr>
                <w:rFonts w:hint="eastAsia" w:cs="Times New Roman"/>
                <w:color w:val="auto"/>
                <w:sz w:val="15"/>
                <w:szCs w:val="15"/>
              </w:rPr>
              <w:t>（m</w:t>
            </w:r>
            <w:r>
              <w:rPr>
                <w:rFonts w:hint="eastAsia" w:cs="Times New Roman"/>
                <w:color w:val="auto"/>
                <w:sz w:val="15"/>
                <w:szCs w:val="15"/>
                <w:vertAlign w:val="superscript"/>
              </w:rPr>
              <w:t>3</w:t>
            </w:r>
            <w:r>
              <w:rPr>
                <w:rFonts w:hint="eastAsia" w:cs="Times New Roman"/>
                <w:color w:val="auto"/>
                <w:sz w:val="15"/>
                <w:szCs w:val="15"/>
              </w:rPr>
              <w:t>）</w:t>
            </w:r>
          </w:p>
        </w:tc>
        <w:tc>
          <w:tcPr>
            <w:tcW w:w="1420" w:type="dxa"/>
            <w:vAlign w:val="center"/>
          </w:tcPr>
          <w:p>
            <w:pPr>
              <w:spacing w:line="300" w:lineRule="auto"/>
              <w:jc w:val="center"/>
              <w:rPr>
                <w:rFonts w:cs="Times New Roman"/>
                <w:color w:val="auto"/>
                <w:sz w:val="15"/>
                <w:szCs w:val="15"/>
              </w:rPr>
            </w:pPr>
            <w:r>
              <w:rPr>
                <w:rFonts w:hint="eastAsia" w:cs="Times New Roman"/>
                <w:color w:val="auto"/>
                <w:sz w:val="15"/>
                <w:szCs w:val="15"/>
              </w:rPr>
              <w:t>竖向构件总体积V（m</w:t>
            </w:r>
            <w:r>
              <w:rPr>
                <w:rFonts w:hint="eastAsia" w:cs="Times New Roman"/>
                <w:color w:val="auto"/>
                <w:sz w:val="15"/>
                <w:szCs w:val="15"/>
                <w:vertAlign w:val="superscript"/>
              </w:rPr>
              <w:t>3</w:t>
            </w:r>
            <w:r>
              <w:rPr>
                <w:rFonts w:hint="eastAsia" w:cs="Times New Roman"/>
                <w:color w:val="auto"/>
                <w:sz w:val="15"/>
                <w:szCs w:val="15"/>
              </w:rPr>
              <w:t>）</w:t>
            </w:r>
          </w:p>
        </w:tc>
        <w:tc>
          <w:tcPr>
            <w:tcW w:w="1420"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竖向构件中预制部件应用比例Q</w:t>
            </w:r>
            <w:r>
              <w:rPr>
                <w:rFonts w:hint="eastAsia" w:cs="Times New Roman"/>
                <w:color w:val="auto"/>
                <w:sz w:val="15"/>
                <w:szCs w:val="15"/>
                <w:vertAlign w:val="subscript"/>
              </w:rPr>
              <w:t>1a</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06" w:type="dxa"/>
            <w:gridSpan w:val="2"/>
            <w:vMerge w:val="restart"/>
            <w:vAlign w:val="center"/>
          </w:tcPr>
          <w:p>
            <w:pPr>
              <w:spacing w:line="300" w:lineRule="auto"/>
              <w:jc w:val="center"/>
              <w:rPr>
                <w:rFonts w:cs="Times New Roman"/>
                <w:color w:val="auto"/>
                <w:sz w:val="15"/>
                <w:szCs w:val="15"/>
              </w:rPr>
            </w:pPr>
            <w:r>
              <w:rPr>
                <w:rFonts w:hint="eastAsia" w:cs="Times New Roman"/>
                <w:color w:val="auto"/>
                <w:sz w:val="15"/>
                <w:szCs w:val="15"/>
              </w:rPr>
              <w:t>柱、支撑、承重墙、延性墙板等竖向构件</w:t>
            </w:r>
          </w:p>
        </w:tc>
        <w:tc>
          <w:tcPr>
            <w:tcW w:w="833"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421" w:type="dxa"/>
            <w:vAlign w:val="center"/>
          </w:tcPr>
          <w:p>
            <w:pPr>
              <w:spacing w:line="300" w:lineRule="auto"/>
              <w:jc w:val="center"/>
              <w:rPr>
                <w:rFonts w:cs="Times New Roman"/>
                <w:color w:val="auto"/>
                <w:sz w:val="15"/>
                <w:szCs w:val="15"/>
              </w:rPr>
            </w:pPr>
          </w:p>
        </w:tc>
        <w:tc>
          <w:tcPr>
            <w:tcW w:w="1420" w:type="dxa"/>
            <w:vAlign w:val="center"/>
          </w:tcPr>
          <w:p>
            <w:pPr>
              <w:spacing w:line="300" w:lineRule="auto"/>
              <w:jc w:val="center"/>
              <w:rPr>
                <w:rFonts w:cs="Times New Roman"/>
                <w:color w:val="auto"/>
                <w:sz w:val="15"/>
                <w:szCs w:val="15"/>
              </w:rPr>
            </w:pPr>
          </w:p>
        </w:tc>
        <w:tc>
          <w:tcPr>
            <w:tcW w:w="1420" w:type="dxa"/>
            <w:gridSpan w:val="3"/>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006" w:type="dxa"/>
            <w:gridSpan w:val="2"/>
            <w:vMerge w:val="continue"/>
            <w:vAlign w:val="center"/>
          </w:tcPr>
          <w:p>
            <w:pPr>
              <w:spacing w:line="300" w:lineRule="auto"/>
              <w:jc w:val="center"/>
              <w:rPr>
                <w:rFonts w:cs="Times New Roman"/>
                <w:color w:val="auto"/>
                <w:sz w:val="15"/>
                <w:szCs w:val="15"/>
              </w:rPr>
            </w:pPr>
          </w:p>
        </w:tc>
        <w:tc>
          <w:tcPr>
            <w:tcW w:w="833"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421" w:type="dxa"/>
            <w:vAlign w:val="center"/>
          </w:tcPr>
          <w:p>
            <w:pPr>
              <w:spacing w:line="300" w:lineRule="auto"/>
              <w:jc w:val="center"/>
              <w:rPr>
                <w:rFonts w:cs="Times New Roman"/>
                <w:color w:val="auto"/>
                <w:sz w:val="15"/>
                <w:szCs w:val="15"/>
              </w:rPr>
            </w:pPr>
          </w:p>
        </w:tc>
        <w:tc>
          <w:tcPr>
            <w:tcW w:w="1420" w:type="dxa"/>
            <w:vAlign w:val="center"/>
          </w:tcPr>
          <w:p>
            <w:pPr>
              <w:spacing w:line="300" w:lineRule="auto"/>
              <w:jc w:val="center"/>
              <w:rPr>
                <w:rFonts w:cs="Times New Roman"/>
                <w:color w:val="auto"/>
                <w:sz w:val="15"/>
                <w:szCs w:val="15"/>
              </w:rPr>
            </w:pPr>
          </w:p>
        </w:tc>
        <w:tc>
          <w:tcPr>
            <w:tcW w:w="1420" w:type="dxa"/>
            <w:gridSpan w:val="3"/>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22" w:type="dxa"/>
            <w:gridSpan w:val="10"/>
            <w:vAlign w:val="center"/>
          </w:tcPr>
          <w:p>
            <w:pPr>
              <w:spacing w:line="300" w:lineRule="auto"/>
              <w:jc w:val="center"/>
              <w:rPr>
                <w:rFonts w:cs="Times New Roman"/>
                <w:color w:val="auto"/>
                <w:sz w:val="15"/>
                <w:szCs w:val="15"/>
              </w:rPr>
            </w:pPr>
            <w:r>
              <w:rPr>
                <w:rFonts w:hint="eastAsia" w:cs="Times New Roman"/>
                <w:color w:val="auto"/>
                <w:sz w:val="15"/>
                <w:szCs w:val="15"/>
              </w:rPr>
              <w:t>①35%</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1a</w:t>
            </w:r>
            <w:r>
              <w:rPr>
                <w:rFonts w:ascii="Arial" w:hAnsi="Arial" w:cs="Arial"/>
                <w:color w:val="auto"/>
                <w:sz w:val="15"/>
                <w:szCs w:val="15"/>
              </w:rPr>
              <w:t>≤</w:t>
            </w:r>
            <w:r>
              <w:rPr>
                <w:rFonts w:hint="eastAsia" w:cs="Times New Roman"/>
                <w:color w:val="auto"/>
                <w:sz w:val="15"/>
                <w:szCs w:val="15"/>
              </w:rPr>
              <w:t>80%，指标得分=20~30*；②15%</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1a</w:t>
            </w:r>
            <w:r>
              <w:rPr>
                <w:rFonts w:ascii="Arial" w:hAnsi="Arial" w:cs="Arial"/>
                <w:color w:val="auto"/>
                <w:sz w:val="15"/>
                <w:szCs w:val="15"/>
              </w:rPr>
              <w:sym w:font="Symbol" w:char="F03C"/>
            </w:r>
            <w:r>
              <w:rPr>
                <w:rFonts w:hint="eastAsia" w:cs="Times New Roman"/>
                <w:color w:val="auto"/>
                <w:sz w:val="15"/>
                <w:szCs w:val="15"/>
              </w:rPr>
              <w:t>35%，指标得分=5~20*；</w:t>
            </w:r>
            <w:r>
              <w:rPr>
                <w:rFonts w:cs="Times New Roman"/>
                <w:color w:val="auto"/>
                <w:sz w:val="15"/>
                <w:szCs w:val="15"/>
              </w:rPr>
              <w:t>Q</w:t>
            </w:r>
            <w:r>
              <w:rPr>
                <w:rFonts w:cs="Times New Roman"/>
                <w:color w:val="auto"/>
                <w:sz w:val="15"/>
                <w:szCs w:val="15"/>
                <w:vertAlign w:val="subscript"/>
              </w:rPr>
              <w:t>1a</w:t>
            </w:r>
            <w:r>
              <w:rPr>
                <w:rFonts w:cs="Times New Roman"/>
                <w:color w:val="auto"/>
                <w:sz w:val="15"/>
                <w:szCs w:val="15"/>
              </w:rPr>
              <w:t>=V</w:t>
            </w:r>
            <w:r>
              <w:rPr>
                <w:rFonts w:cs="Times New Roman"/>
                <w:color w:val="auto"/>
                <w:sz w:val="15"/>
                <w:szCs w:val="15"/>
                <w:vertAlign w:val="subscript"/>
              </w:rPr>
              <w:t>1a</w:t>
            </w:r>
            <w:r>
              <w:rPr>
                <w:rFonts w:cs="Times New Roman"/>
                <w:color w:val="auto"/>
                <w:sz w:val="15"/>
                <w:szCs w:val="15"/>
              </w:rPr>
              <w:t>/V×100%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39" w:type="dxa"/>
            <w:gridSpan w:val="4"/>
            <w:vAlign w:val="center"/>
          </w:tcPr>
          <w:p>
            <w:pPr>
              <w:spacing w:line="300" w:lineRule="auto"/>
              <w:jc w:val="center"/>
              <w:rPr>
                <w:rFonts w:cs="Times New Roman"/>
                <w:color w:val="auto"/>
                <w:sz w:val="15"/>
                <w:szCs w:val="15"/>
              </w:rPr>
            </w:pPr>
            <w:r>
              <w:rPr>
                <w:rFonts w:hint="eastAsia" w:cs="Times New Roman"/>
                <w:color w:val="auto"/>
                <w:sz w:val="15"/>
                <w:szCs w:val="15"/>
              </w:rPr>
              <w:t>构件类型</w:t>
            </w:r>
          </w:p>
        </w:tc>
        <w:tc>
          <w:tcPr>
            <w:tcW w:w="1421" w:type="dxa"/>
            <w:vAlign w:val="center"/>
          </w:tcPr>
          <w:p>
            <w:pPr>
              <w:spacing w:line="300" w:lineRule="auto"/>
              <w:jc w:val="center"/>
              <w:rPr>
                <w:rFonts w:cs="Times New Roman"/>
                <w:color w:val="auto"/>
                <w:sz w:val="15"/>
                <w:szCs w:val="15"/>
              </w:rPr>
            </w:pPr>
            <w:r>
              <w:rPr>
                <w:rFonts w:hint="eastAsia" w:cs="Times New Roman"/>
                <w:color w:val="auto"/>
                <w:sz w:val="15"/>
                <w:szCs w:val="15"/>
              </w:rPr>
              <w:t>各楼层中预制水平构件的水平投影面积之和A</w:t>
            </w:r>
            <w:r>
              <w:rPr>
                <w:rFonts w:hint="eastAsia" w:cs="Times New Roman"/>
                <w:color w:val="auto"/>
                <w:sz w:val="15"/>
                <w:szCs w:val="15"/>
                <w:vertAlign w:val="subscript"/>
              </w:rPr>
              <w:t>1b</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20" w:type="dxa"/>
            <w:vAlign w:val="center"/>
          </w:tcPr>
          <w:p>
            <w:pPr>
              <w:spacing w:line="300" w:lineRule="auto"/>
              <w:jc w:val="center"/>
              <w:rPr>
                <w:rFonts w:cs="Times New Roman"/>
                <w:color w:val="auto"/>
                <w:sz w:val="15"/>
                <w:szCs w:val="15"/>
              </w:rPr>
            </w:pPr>
            <w:r>
              <w:rPr>
                <w:rFonts w:hint="eastAsia" w:cs="Times New Roman"/>
                <w:color w:val="auto"/>
                <w:sz w:val="15"/>
                <w:szCs w:val="15"/>
              </w:rPr>
              <w:t>各楼层中水平受力构件水平投影面积之和A</w:t>
            </w:r>
            <w:r>
              <w:rPr>
                <w:rFonts w:hint="eastAsia" w:cs="Times New Roman"/>
                <w:color w:val="auto"/>
                <w:sz w:val="15"/>
                <w:szCs w:val="15"/>
                <w:vertAlign w:val="subscript"/>
              </w:rPr>
              <w:t>1</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20"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水平构件中预制部件应用比例Q</w:t>
            </w:r>
            <w:r>
              <w:rPr>
                <w:rFonts w:hint="eastAsia" w:cs="Times New Roman"/>
                <w:color w:val="auto"/>
                <w:sz w:val="15"/>
                <w:szCs w:val="15"/>
                <w:vertAlign w:val="subscript"/>
              </w:rPr>
              <w:t>1b</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006" w:type="dxa"/>
            <w:gridSpan w:val="2"/>
            <w:vMerge w:val="restart"/>
            <w:vAlign w:val="center"/>
          </w:tcPr>
          <w:p>
            <w:pPr>
              <w:spacing w:line="300" w:lineRule="auto"/>
              <w:jc w:val="center"/>
              <w:rPr>
                <w:rFonts w:cs="Times New Roman"/>
                <w:color w:val="auto"/>
                <w:sz w:val="15"/>
                <w:szCs w:val="15"/>
              </w:rPr>
            </w:pPr>
            <w:r>
              <w:rPr>
                <w:rFonts w:hint="eastAsia" w:cs="Times New Roman"/>
                <w:color w:val="auto"/>
                <w:sz w:val="15"/>
                <w:szCs w:val="15"/>
              </w:rPr>
              <w:t>梁、板、楼梯、阳台、空调板等水平构件</w:t>
            </w:r>
          </w:p>
        </w:tc>
        <w:tc>
          <w:tcPr>
            <w:tcW w:w="833"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421" w:type="dxa"/>
            <w:vAlign w:val="center"/>
          </w:tcPr>
          <w:p>
            <w:pPr>
              <w:spacing w:line="300" w:lineRule="auto"/>
              <w:jc w:val="center"/>
              <w:rPr>
                <w:rFonts w:cs="Times New Roman"/>
                <w:color w:val="auto"/>
                <w:sz w:val="15"/>
                <w:szCs w:val="15"/>
              </w:rPr>
            </w:pPr>
          </w:p>
        </w:tc>
        <w:tc>
          <w:tcPr>
            <w:tcW w:w="1420" w:type="dxa"/>
            <w:vAlign w:val="center"/>
          </w:tcPr>
          <w:p>
            <w:pPr>
              <w:spacing w:line="300" w:lineRule="auto"/>
              <w:jc w:val="center"/>
              <w:rPr>
                <w:rFonts w:cs="Times New Roman"/>
                <w:color w:val="auto"/>
                <w:sz w:val="15"/>
                <w:szCs w:val="15"/>
              </w:rPr>
            </w:pPr>
          </w:p>
        </w:tc>
        <w:tc>
          <w:tcPr>
            <w:tcW w:w="1420" w:type="dxa"/>
            <w:gridSpan w:val="3"/>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006" w:type="dxa"/>
            <w:gridSpan w:val="2"/>
            <w:vMerge w:val="continue"/>
            <w:vAlign w:val="center"/>
          </w:tcPr>
          <w:p>
            <w:pPr>
              <w:spacing w:line="300" w:lineRule="auto"/>
              <w:jc w:val="center"/>
              <w:rPr>
                <w:rFonts w:cs="Times New Roman"/>
                <w:color w:val="auto"/>
                <w:sz w:val="15"/>
                <w:szCs w:val="15"/>
              </w:rPr>
            </w:pPr>
          </w:p>
        </w:tc>
        <w:tc>
          <w:tcPr>
            <w:tcW w:w="833"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421" w:type="dxa"/>
            <w:vAlign w:val="center"/>
          </w:tcPr>
          <w:p>
            <w:pPr>
              <w:spacing w:line="300" w:lineRule="auto"/>
              <w:jc w:val="center"/>
              <w:rPr>
                <w:rFonts w:cs="Times New Roman"/>
                <w:color w:val="auto"/>
                <w:sz w:val="15"/>
                <w:szCs w:val="15"/>
              </w:rPr>
            </w:pPr>
          </w:p>
        </w:tc>
        <w:tc>
          <w:tcPr>
            <w:tcW w:w="1420" w:type="dxa"/>
            <w:vAlign w:val="center"/>
          </w:tcPr>
          <w:p>
            <w:pPr>
              <w:spacing w:line="300" w:lineRule="auto"/>
              <w:jc w:val="center"/>
              <w:rPr>
                <w:rFonts w:cs="Times New Roman"/>
                <w:color w:val="auto"/>
                <w:sz w:val="15"/>
                <w:szCs w:val="15"/>
              </w:rPr>
            </w:pPr>
          </w:p>
        </w:tc>
        <w:tc>
          <w:tcPr>
            <w:tcW w:w="1420" w:type="dxa"/>
            <w:gridSpan w:val="3"/>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spacing w:line="300" w:lineRule="auto"/>
              <w:ind w:firstLine="150" w:firstLineChars="100"/>
              <w:jc w:val="center"/>
              <w:rPr>
                <w:rFonts w:cs="Times New Roman"/>
                <w:color w:val="auto"/>
                <w:sz w:val="15"/>
                <w:szCs w:val="15"/>
              </w:rPr>
            </w:pPr>
            <w:r>
              <w:rPr>
                <w:rFonts w:hint="eastAsia" w:cs="Times New Roman"/>
                <w:color w:val="auto"/>
                <w:sz w:val="15"/>
                <w:szCs w:val="15"/>
              </w:rPr>
              <w:t>①60%</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1b</w:t>
            </w:r>
            <w:r>
              <w:rPr>
                <w:rFonts w:ascii="Arial" w:hAnsi="Arial" w:cs="Arial"/>
                <w:color w:val="auto"/>
                <w:sz w:val="15"/>
                <w:szCs w:val="15"/>
              </w:rPr>
              <w:t>≤</w:t>
            </w:r>
            <w:r>
              <w:rPr>
                <w:rFonts w:hint="eastAsia" w:cs="Times New Roman"/>
                <w:color w:val="auto"/>
                <w:sz w:val="15"/>
                <w:szCs w:val="15"/>
              </w:rPr>
              <w:t>80%，指标得分=10~20*；②40%</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1b</w:t>
            </w:r>
            <w:r>
              <w:rPr>
                <w:rFonts w:ascii="Arial" w:hAnsi="Arial" w:cs="Arial"/>
                <w:color w:val="auto"/>
                <w:sz w:val="15"/>
                <w:szCs w:val="15"/>
              </w:rPr>
              <w:sym w:font="Symbol" w:char="F03C"/>
            </w:r>
            <w:r>
              <w:rPr>
                <w:rFonts w:hint="eastAsia" w:cs="Times New Roman"/>
                <w:color w:val="auto"/>
                <w:sz w:val="15"/>
                <w:szCs w:val="15"/>
              </w:rPr>
              <w:t>60%，指标得分=5~10*；</w:t>
            </w:r>
            <w:r>
              <w:rPr>
                <w:rFonts w:cs="Times New Roman"/>
                <w:color w:val="auto"/>
                <w:sz w:val="15"/>
                <w:szCs w:val="15"/>
              </w:rPr>
              <w:t>Q</w:t>
            </w:r>
            <w:r>
              <w:rPr>
                <w:rFonts w:cs="Times New Roman"/>
                <w:color w:val="auto"/>
                <w:sz w:val="15"/>
                <w:szCs w:val="15"/>
                <w:vertAlign w:val="subscript"/>
              </w:rPr>
              <w:t>1b</w:t>
            </w:r>
            <w:r>
              <w:rPr>
                <w:rFonts w:cs="Times New Roman"/>
                <w:color w:val="auto"/>
                <w:sz w:val="15"/>
                <w:szCs w:val="15"/>
              </w:rPr>
              <w:t>=A</w:t>
            </w:r>
            <w:r>
              <w:rPr>
                <w:rFonts w:cs="Times New Roman"/>
                <w:color w:val="auto"/>
                <w:sz w:val="15"/>
                <w:szCs w:val="15"/>
                <w:vertAlign w:val="subscript"/>
              </w:rPr>
              <w:t>1b</w:t>
            </w:r>
            <w:r>
              <w:rPr>
                <w:rFonts w:cs="Times New Roman"/>
                <w:color w:val="auto"/>
                <w:sz w:val="15"/>
                <w:szCs w:val="15"/>
              </w:rPr>
              <w:t>/A</w:t>
            </w:r>
            <w:r>
              <w:rPr>
                <w:rFonts w:cs="Times New Roman"/>
                <w:color w:val="auto"/>
                <w:sz w:val="15"/>
                <w:szCs w:val="15"/>
                <w:vertAlign w:val="subscript"/>
              </w:rPr>
              <w:t>1</w:t>
            </w:r>
            <w:r>
              <w:rPr>
                <w:rFonts w:cs="Times New Roman"/>
                <w:color w:val="auto"/>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498" w:type="dxa"/>
            <w:gridSpan w:val="3"/>
          </w:tcPr>
          <w:p>
            <w:pPr>
              <w:spacing w:line="300" w:lineRule="auto"/>
              <w:ind w:firstLine="150" w:firstLineChars="100"/>
              <w:jc w:val="center"/>
              <w:rPr>
                <w:rFonts w:cs="Times New Roman"/>
                <w:color w:val="auto"/>
                <w:sz w:val="15"/>
                <w:szCs w:val="15"/>
              </w:rPr>
            </w:pPr>
            <w:r>
              <w:rPr>
                <w:rFonts w:hint="eastAsia" w:cs="Times New Roman"/>
                <w:color w:val="auto"/>
                <w:sz w:val="15"/>
                <w:szCs w:val="15"/>
              </w:rPr>
              <w:t>主体结构指标设计得分值Q</w:t>
            </w:r>
            <w:r>
              <w:rPr>
                <w:rFonts w:hint="eastAsia" w:cs="Times New Roman"/>
                <w:color w:val="auto"/>
                <w:sz w:val="15"/>
                <w:szCs w:val="15"/>
                <w:vertAlign w:val="subscript"/>
              </w:rPr>
              <w:t>1D</w:t>
            </w:r>
          </w:p>
        </w:tc>
        <w:tc>
          <w:tcPr>
            <w:tcW w:w="1762" w:type="dxa"/>
            <w:gridSpan w:val="2"/>
          </w:tcPr>
          <w:p>
            <w:pPr>
              <w:spacing w:line="300" w:lineRule="auto"/>
              <w:ind w:firstLine="150" w:firstLineChars="100"/>
              <w:jc w:val="center"/>
              <w:rPr>
                <w:rFonts w:cs="Times New Roman"/>
                <w:color w:val="auto"/>
                <w:sz w:val="15"/>
                <w:szCs w:val="15"/>
              </w:rPr>
            </w:pPr>
          </w:p>
        </w:tc>
        <w:tc>
          <w:tcPr>
            <w:tcW w:w="2370" w:type="dxa"/>
            <w:gridSpan w:val="3"/>
          </w:tcPr>
          <w:p>
            <w:pPr>
              <w:spacing w:line="300" w:lineRule="auto"/>
              <w:ind w:firstLine="150" w:firstLineChars="100"/>
              <w:jc w:val="center"/>
              <w:rPr>
                <w:rFonts w:cs="Times New Roman"/>
                <w:color w:val="auto"/>
                <w:sz w:val="15"/>
                <w:szCs w:val="15"/>
              </w:rPr>
            </w:pPr>
            <w:r>
              <w:rPr>
                <w:rFonts w:hint="eastAsia" w:cs="Times New Roman"/>
                <w:color w:val="auto"/>
                <w:sz w:val="15"/>
                <w:szCs w:val="15"/>
              </w:rPr>
              <w:t>主体结构指标实际得分值Q</w:t>
            </w:r>
            <w:r>
              <w:rPr>
                <w:rFonts w:hint="eastAsia" w:cs="Times New Roman"/>
                <w:color w:val="auto"/>
                <w:sz w:val="15"/>
                <w:szCs w:val="15"/>
                <w:vertAlign w:val="subscript"/>
              </w:rPr>
              <w:t>1A</w:t>
            </w:r>
          </w:p>
        </w:tc>
        <w:tc>
          <w:tcPr>
            <w:tcW w:w="1892" w:type="dxa"/>
            <w:gridSpan w:val="2"/>
          </w:tcPr>
          <w:p>
            <w:pPr>
              <w:spacing w:line="300" w:lineRule="auto"/>
              <w:ind w:firstLine="150" w:firstLineChars="100"/>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260" w:type="dxa"/>
            <w:gridSpan w:val="5"/>
          </w:tcPr>
          <w:p>
            <w:pPr>
              <w:spacing w:line="300" w:lineRule="auto"/>
              <w:ind w:firstLine="150" w:firstLineChars="100"/>
              <w:jc w:val="center"/>
              <w:rPr>
                <w:rFonts w:cs="Times New Roman"/>
                <w:color w:val="auto"/>
                <w:sz w:val="15"/>
                <w:szCs w:val="15"/>
              </w:rPr>
            </w:pPr>
            <w:r>
              <w:rPr>
                <w:rFonts w:cs="Times New Roman"/>
                <w:color w:val="auto"/>
                <w:sz w:val="15"/>
                <w:szCs w:val="15"/>
              </w:rPr>
              <w:t>验收结论</w:t>
            </w:r>
          </w:p>
        </w:tc>
        <w:tc>
          <w:tcPr>
            <w:tcW w:w="4262" w:type="dxa"/>
            <w:gridSpan w:val="5"/>
          </w:tcPr>
          <w:p>
            <w:pPr>
              <w:spacing w:line="300" w:lineRule="auto"/>
              <w:jc w:val="center"/>
              <w:rPr>
                <w:rFonts w:cs="Times New Roman"/>
                <w:color w:val="auto"/>
                <w:sz w:val="15"/>
                <w:szCs w:val="15"/>
              </w:rPr>
            </w:pPr>
            <w:r>
              <w:rPr>
                <w:rFonts w:cs="Times New Roman"/>
                <w:color w:val="auto"/>
                <w:sz w:val="15"/>
                <w:szCs w:val="15"/>
              </w:rPr>
              <w:t>□</w:t>
            </w:r>
            <w:r>
              <w:rPr>
                <w:rFonts w:hint="eastAsia" w:cs="Times New Roman"/>
                <w:color w:val="auto"/>
                <w:sz w:val="15"/>
                <w:szCs w:val="15"/>
              </w:rPr>
              <w:t xml:space="preserve"> 合格           </w:t>
            </w:r>
            <w:r>
              <w:rPr>
                <w:rFonts w:cs="Times New Roman"/>
                <w:color w:val="auto"/>
                <w:sz w:val="15"/>
                <w:szCs w:val="15"/>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spacing w:line="300" w:lineRule="auto"/>
              <w:rPr>
                <w:rFonts w:cs="Times New Roman"/>
                <w:color w:val="auto"/>
                <w:sz w:val="15"/>
                <w:szCs w:val="15"/>
              </w:rPr>
            </w:pPr>
            <w:r>
              <w:rPr>
                <w:rFonts w:hint="eastAsia" w:cs="Times New Roman"/>
                <w:color w:val="auto"/>
                <w:sz w:val="15"/>
                <w:szCs w:val="15"/>
              </w:rPr>
              <w:t>建设单位（签字盖章）：                                  施工单位：（签字盖章）</w:t>
            </w:r>
          </w:p>
          <w:p>
            <w:pPr>
              <w:spacing w:line="300" w:lineRule="auto"/>
              <w:ind w:firstLine="1125" w:firstLineChars="750"/>
              <w:rPr>
                <w:rFonts w:cs="Times New Roman"/>
                <w:color w:val="auto"/>
                <w:sz w:val="15"/>
                <w:szCs w:val="15"/>
              </w:rPr>
            </w:pPr>
            <w:r>
              <w:rPr>
                <w:rFonts w:hint="eastAsia" w:cs="Times New Roman"/>
                <w:color w:val="auto"/>
                <w:sz w:val="15"/>
                <w:szCs w:val="15"/>
              </w:rPr>
              <w:t>年    月    日                                              年    月    日</w:t>
            </w:r>
          </w:p>
          <w:p>
            <w:pPr>
              <w:spacing w:line="300" w:lineRule="auto"/>
              <w:rPr>
                <w:rFonts w:cs="Times New Roman"/>
                <w:color w:val="auto"/>
                <w:sz w:val="15"/>
                <w:szCs w:val="15"/>
              </w:rPr>
            </w:pPr>
            <w:r>
              <w:rPr>
                <w:rFonts w:hint="eastAsia" w:cs="Times New Roman"/>
                <w:color w:val="auto"/>
                <w:sz w:val="15"/>
                <w:szCs w:val="15"/>
              </w:rPr>
              <w:t>监理单位（签字盖章）：                                  设计单位：（签字盖章）</w:t>
            </w:r>
          </w:p>
          <w:p>
            <w:pPr>
              <w:spacing w:before="312" w:after="312" w:line="300" w:lineRule="auto"/>
              <w:ind w:firstLine="1125" w:firstLineChars="750"/>
              <w:rPr>
                <w:rFonts w:ascii="宋体" w:eastAsia="黑体" w:cs="Times New Roman"/>
                <w:color w:val="auto"/>
                <w:sz w:val="15"/>
                <w:szCs w:val="15"/>
              </w:rPr>
            </w:pPr>
            <w:r>
              <w:rPr>
                <w:rFonts w:hint="eastAsia" w:cs="Times New Roman"/>
                <w:color w:val="auto"/>
                <w:sz w:val="15"/>
                <w:szCs w:val="15"/>
              </w:rPr>
              <w:t>年    月    日                                              年    月    日</w:t>
            </w:r>
          </w:p>
        </w:tc>
      </w:tr>
    </w:tbl>
    <w:p>
      <w:pPr>
        <w:widowControl/>
        <w:spacing w:line="300" w:lineRule="auto"/>
        <w:jc w:val="left"/>
        <w:rPr>
          <w:color w:val="auto"/>
        </w:rPr>
      </w:pPr>
      <w:r>
        <w:rPr>
          <w:rFonts w:ascii="仿宋" w:hAnsi="仿宋" w:eastAsia="仿宋" w:cs="仿宋"/>
          <w:color w:val="auto"/>
          <w:kern w:val="0"/>
          <w:sz w:val="20"/>
          <w:szCs w:val="20"/>
        </w:rPr>
        <w:t>注：表中带“*”项的分值采用“内插法”计算，计算结果取小数点后 1 位。</w:t>
      </w:r>
    </w:p>
    <w:p>
      <w:pPr>
        <w:spacing w:line="300" w:lineRule="auto"/>
        <w:rPr>
          <w:rFonts w:cs="Times New Roman"/>
          <w:color w:val="auto"/>
          <w:sz w:val="24"/>
          <w:szCs w:val="24"/>
        </w:rPr>
      </w:pPr>
      <w:r>
        <w:rPr>
          <w:rFonts w:hint="eastAsia" w:cs="Times New Roman"/>
          <w:color w:val="auto"/>
          <w:sz w:val="24"/>
          <w:szCs w:val="24"/>
        </w:rPr>
        <w:t>6.2.2围护墙和内隔墙装配率验收</w:t>
      </w:r>
    </w:p>
    <w:p>
      <w:pPr>
        <w:spacing w:line="300" w:lineRule="auto"/>
        <w:ind w:firstLine="480" w:firstLineChars="200"/>
        <w:jc w:val="left"/>
        <w:rPr>
          <w:rFonts w:cs="Times New Roman"/>
          <w:color w:val="auto"/>
          <w:sz w:val="24"/>
          <w:szCs w:val="24"/>
        </w:rPr>
      </w:pPr>
      <w:r>
        <w:rPr>
          <w:rFonts w:hint="eastAsia" w:cs="Times New Roman"/>
          <w:color w:val="auto"/>
          <w:sz w:val="24"/>
          <w:szCs w:val="24"/>
        </w:rPr>
        <w:t>围护墙和内隔墙装配率验收参照表6-2-2进行。</w:t>
      </w:r>
    </w:p>
    <w:p>
      <w:pPr>
        <w:spacing w:line="300" w:lineRule="auto"/>
        <w:jc w:val="center"/>
        <w:rPr>
          <w:rFonts w:cs="Times New Roman"/>
          <w:color w:val="auto"/>
          <w:sz w:val="24"/>
          <w:szCs w:val="24"/>
        </w:rPr>
      </w:pPr>
      <w:r>
        <w:rPr>
          <w:rFonts w:hint="eastAsia" w:cs="Times New Roman"/>
          <w:color w:val="auto"/>
          <w:sz w:val="24"/>
          <w:szCs w:val="24"/>
        </w:rPr>
        <w:t>表6-2-2  装配式混凝土结构围护墙和内隔墙装配率验收表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170"/>
        <w:gridCol w:w="805"/>
        <w:gridCol w:w="55"/>
        <w:gridCol w:w="1337"/>
        <w:gridCol w:w="83"/>
        <w:gridCol w:w="188"/>
        <w:gridCol w:w="1146"/>
        <w:gridCol w:w="86"/>
        <w:gridCol w:w="1332"/>
        <w:gridCol w:w="8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Pr>
          <w:p>
            <w:pPr>
              <w:spacing w:line="300" w:lineRule="auto"/>
              <w:rPr>
                <w:rFonts w:cs="Times New Roman"/>
                <w:color w:val="auto"/>
                <w:sz w:val="15"/>
                <w:szCs w:val="15"/>
              </w:rPr>
            </w:pPr>
            <w:r>
              <w:rPr>
                <w:rFonts w:hint="eastAsia" w:cs="Times New Roman"/>
                <w:color w:val="auto"/>
                <w:sz w:val="15"/>
                <w:szCs w:val="15"/>
              </w:rPr>
              <w:t>工程名称</w:t>
            </w:r>
          </w:p>
        </w:tc>
        <w:tc>
          <w:tcPr>
            <w:tcW w:w="2367" w:type="dxa"/>
            <w:gridSpan w:val="4"/>
          </w:tcPr>
          <w:p>
            <w:pPr>
              <w:spacing w:line="300" w:lineRule="auto"/>
              <w:rPr>
                <w:rFonts w:cs="Times New Roman"/>
                <w:color w:val="auto"/>
                <w:sz w:val="15"/>
                <w:szCs w:val="15"/>
              </w:rPr>
            </w:pPr>
          </w:p>
        </w:tc>
        <w:tc>
          <w:tcPr>
            <w:tcW w:w="1417" w:type="dxa"/>
            <w:gridSpan w:val="3"/>
          </w:tcPr>
          <w:p>
            <w:pPr>
              <w:spacing w:line="300" w:lineRule="auto"/>
              <w:rPr>
                <w:rFonts w:cs="Times New Roman"/>
                <w:color w:val="auto"/>
                <w:sz w:val="15"/>
                <w:szCs w:val="15"/>
              </w:rPr>
            </w:pPr>
            <w:r>
              <w:rPr>
                <w:rFonts w:hint="eastAsia" w:cs="Times New Roman"/>
                <w:color w:val="auto"/>
                <w:sz w:val="15"/>
                <w:szCs w:val="15"/>
              </w:rPr>
              <w:t>施工进度</w:t>
            </w:r>
          </w:p>
        </w:tc>
        <w:tc>
          <w:tcPr>
            <w:tcW w:w="2928" w:type="dxa"/>
            <w:gridSpan w:val="4"/>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0" w:type="dxa"/>
          </w:tcPr>
          <w:p>
            <w:pPr>
              <w:spacing w:line="300" w:lineRule="auto"/>
              <w:rPr>
                <w:rFonts w:cs="Times New Roman"/>
                <w:color w:val="auto"/>
                <w:sz w:val="15"/>
                <w:szCs w:val="15"/>
              </w:rPr>
            </w:pPr>
            <w:r>
              <w:rPr>
                <w:rFonts w:hint="eastAsia" w:cs="Times New Roman"/>
                <w:color w:val="auto"/>
                <w:sz w:val="15"/>
                <w:szCs w:val="15"/>
              </w:rPr>
              <w:t>建筑面积</w:t>
            </w:r>
          </w:p>
        </w:tc>
        <w:tc>
          <w:tcPr>
            <w:tcW w:w="2367" w:type="dxa"/>
            <w:gridSpan w:val="4"/>
          </w:tcPr>
          <w:p>
            <w:pPr>
              <w:spacing w:line="300" w:lineRule="auto"/>
              <w:rPr>
                <w:rFonts w:cs="Times New Roman"/>
                <w:color w:val="auto"/>
                <w:sz w:val="15"/>
                <w:szCs w:val="15"/>
              </w:rPr>
            </w:pPr>
          </w:p>
        </w:tc>
        <w:tc>
          <w:tcPr>
            <w:tcW w:w="1417" w:type="dxa"/>
            <w:gridSpan w:val="3"/>
          </w:tcPr>
          <w:p>
            <w:pPr>
              <w:spacing w:line="300" w:lineRule="auto"/>
              <w:rPr>
                <w:rFonts w:cs="Times New Roman"/>
                <w:color w:val="auto"/>
                <w:sz w:val="15"/>
                <w:szCs w:val="15"/>
              </w:rPr>
            </w:pPr>
            <w:r>
              <w:rPr>
                <w:rFonts w:hint="eastAsia" w:cs="Times New Roman"/>
                <w:color w:val="auto"/>
                <w:sz w:val="15"/>
                <w:szCs w:val="15"/>
              </w:rPr>
              <w:t>结构层次</w:t>
            </w:r>
          </w:p>
        </w:tc>
        <w:tc>
          <w:tcPr>
            <w:tcW w:w="2928" w:type="dxa"/>
            <w:gridSpan w:val="4"/>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Pr>
          <w:p>
            <w:pPr>
              <w:spacing w:line="300" w:lineRule="auto"/>
              <w:rPr>
                <w:rFonts w:cs="Times New Roman"/>
                <w:color w:val="auto"/>
                <w:sz w:val="15"/>
                <w:szCs w:val="15"/>
              </w:rPr>
            </w:pPr>
            <w:r>
              <w:rPr>
                <w:rFonts w:hint="eastAsia" w:cs="Times New Roman"/>
                <w:color w:val="auto"/>
                <w:sz w:val="15"/>
                <w:szCs w:val="15"/>
              </w:rPr>
              <w:t>建设单位</w:t>
            </w:r>
          </w:p>
        </w:tc>
        <w:tc>
          <w:tcPr>
            <w:tcW w:w="2367" w:type="dxa"/>
            <w:gridSpan w:val="4"/>
          </w:tcPr>
          <w:p>
            <w:pPr>
              <w:spacing w:line="300" w:lineRule="auto"/>
              <w:rPr>
                <w:rFonts w:cs="Times New Roman"/>
                <w:color w:val="auto"/>
                <w:sz w:val="15"/>
                <w:szCs w:val="15"/>
              </w:rPr>
            </w:pPr>
          </w:p>
        </w:tc>
        <w:tc>
          <w:tcPr>
            <w:tcW w:w="1417" w:type="dxa"/>
            <w:gridSpan w:val="3"/>
          </w:tcPr>
          <w:p>
            <w:pPr>
              <w:spacing w:line="300" w:lineRule="auto"/>
              <w:rPr>
                <w:rFonts w:cs="Times New Roman"/>
                <w:color w:val="auto"/>
                <w:sz w:val="15"/>
                <w:szCs w:val="15"/>
              </w:rPr>
            </w:pPr>
            <w:r>
              <w:rPr>
                <w:rFonts w:hint="eastAsia" w:cs="Times New Roman"/>
                <w:color w:val="auto"/>
                <w:sz w:val="15"/>
                <w:szCs w:val="15"/>
              </w:rPr>
              <w:t>设计单位</w:t>
            </w:r>
          </w:p>
        </w:tc>
        <w:tc>
          <w:tcPr>
            <w:tcW w:w="2928" w:type="dxa"/>
            <w:gridSpan w:val="4"/>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Pr>
          <w:p>
            <w:pPr>
              <w:spacing w:line="300" w:lineRule="auto"/>
              <w:rPr>
                <w:rFonts w:cs="Times New Roman"/>
                <w:color w:val="auto"/>
                <w:sz w:val="15"/>
                <w:szCs w:val="15"/>
              </w:rPr>
            </w:pPr>
            <w:r>
              <w:rPr>
                <w:rFonts w:hint="eastAsia" w:cs="Times New Roman"/>
                <w:color w:val="auto"/>
                <w:sz w:val="15"/>
                <w:szCs w:val="15"/>
              </w:rPr>
              <w:t>施工单位</w:t>
            </w:r>
          </w:p>
        </w:tc>
        <w:tc>
          <w:tcPr>
            <w:tcW w:w="2367" w:type="dxa"/>
            <w:gridSpan w:val="4"/>
          </w:tcPr>
          <w:p>
            <w:pPr>
              <w:spacing w:line="300" w:lineRule="auto"/>
              <w:rPr>
                <w:rFonts w:cs="Times New Roman"/>
                <w:color w:val="auto"/>
                <w:sz w:val="15"/>
                <w:szCs w:val="15"/>
              </w:rPr>
            </w:pPr>
          </w:p>
        </w:tc>
        <w:tc>
          <w:tcPr>
            <w:tcW w:w="1417" w:type="dxa"/>
            <w:gridSpan w:val="3"/>
          </w:tcPr>
          <w:p>
            <w:pPr>
              <w:spacing w:line="300" w:lineRule="auto"/>
              <w:rPr>
                <w:rFonts w:cs="Times New Roman"/>
                <w:color w:val="auto"/>
                <w:sz w:val="15"/>
                <w:szCs w:val="15"/>
              </w:rPr>
            </w:pPr>
            <w:r>
              <w:rPr>
                <w:rFonts w:hint="eastAsia" w:cs="Times New Roman"/>
                <w:color w:val="auto"/>
                <w:sz w:val="15"/>
                <w:szCs w:val="15"/>
              </w:rPr>
              <w:t>监理单位</w:t>
            </w:r>
          </w:p>
        </w:tc>
        <w:tc>
          <w:tcPr>
            <w:tcW w:w="2928" w:type="dxa"/>
            <w:gridSpan w:val="4"/>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Pr>
          <w:p>
            <w:pPr>
              <w:spacing w:line="240" w:lineRule="auto"/>
              <w:rPr>
                <w:rFonts w:cs="Times New Roman"/>
                <w:color w:val="auto"/>
                <w:sz w:val="15"/>
                <w:szCs w:val="15"/>
              </w:rPr>
            </w:pPr>
            <w:r>
              <w:rPr>
                <w:rFonts w:hint="eastAsia" w:cs="Times New Roman"/>
                <w:color w:val="auto"/>
                <w:sz w:val="15"/>
                <w:szCs w:val="15"/>
              </w:rPr>
              <w:t>围护墙和内隔墙构件生产企业</w:t>
            </w:r>
          </w:p>
        </w:tc>
        <w:tc>
          <w:tcPr>
            <w:tcW w:w="2367" w:type="dxa"/>
            <w:gridSpan w:val="4"/>
          </w:tcPr>
          <w:p>
            <w:pPr>
              <w:spacing w:line="300" w:lineRule="auto"/>
              <w:rPr>
                <w:rFonts w:cs="Times New Roman"/>
                <w:color w:val="auto"/>
                <w:sz w:val="15"/>
                <w:szCs w:val="15"/>
              </w:rPr>
            </w:pPr>
          </w:p>
        </w:tc>
        <w:tc>
          <w:tcPr>
            <w:tcW w:w="1417" w:type="dxa"/>
            <w:gridSpan w:val="3"/>
          </w:tcPr>
          <w:p>
            <w:pPr>
              <w:spacing w:line="300" w:lineRule="auto"/>
              <w:rPr>
                <w:rFonts w:cs="Times New Roman"/>
                <w:color w:val="auto"/>
                <w:sz w:val="15"/>
                <w:szCs w:val="15"/>
              </w:rPr>
            </w:pPr>
            <w:r>
              <w:rPr>
                <w:rFonts w:hint="eastAsia" w:cs="Times New Roman"/>
                <w:color w:val="auto"/>
                <w:sz w:val="15"/>
                <w:szCs w:val="15"/>
              </w:rPr>
              <w:t>灌浆料生产企业</w:t>
            </w:r>
          </w:p>
        </w:tc>
        <w:tc>
          <w:tcPr>
            <w:tcW w:w="2928" w:type="dxa"/>
            <w:gridSpan w:val="4"/>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Pr>
          <w:p>
            <w:pPr>
              <w:spacing w:line="300" w:lineRule="auto"/>
              <w:rPr>
                <w:rFonts w:cs="Times New Roman"/>
                <w:color w:val="auto"/>
                <w:sz w:val="15"/>
                <w:szCs w:val="15"/>
              </w:rPr>
            </w:pPr>
            <w:r>
              <w:rPr>
                <w:rFonts w:hint="eastAsia" w:cs="Times New Roman"/>
                <w:color w:val="auto"/>
                <w:sz w:val="15"/>
                <w:szCs w:val="15"/>
              </w:rPr>
              <w:t>单栋建筑编号</w:t>
            </w:r>
          </w:p>
        </w:tc>
        <w:tc>
          <w:tcPr>
            <w:tcW w:w="2367" w:type="dxa"/>
            <w:gridSpan w:val="4"/>
          </w:tcPr>
          <w:p>
            <w:pPr>
              <w:spacing w:line="300" w:lineRule="auto"/>
              <w:rPr>
                <w:rFonts w:cs="Times New Roman"/>
                <w:color w:val="auto"/>
                <w:sz w:val="15"/>
                <w:szCs w:val="15"/>
              </w:rPr>
            </w:pPr>
          </w:p>
        </w:tc>
        <w:tc>
          <w:tcPr>
            <w:tcW w:w="1417" w:type="dxa"/>
            <w:gridSpan w:val="3"/>
          </w:tcPr>
          <w:p>
            <w:pPr>
              <w:spacing w:line="300" w:lineRule="auto"/>
              <w:rPr>
                <w:rFonts w:cs="Times New Roman"/>
                <w:color w:val="auto"/>
                <w:sz w:val="15"/>
                <w:szCs w:val="15"/>
              </w:rPr>
            </w:pPr>
            <w:r>
              <w:rPr>
                <w:rFonts w:hint="eastAsia" w:cs="Times New Roman"/>
                <w:color w:val="auto"/>
                <w:sz w:val="15"/>
                <w:szCs w:val="15"/>
              </w:rPr>
              <w:t>单体设计装配率</w:t>
            </w:r>
          </w:p>
        </w:tc>
        <w:tc>
          <w:tcPr>
            <w:tcW w:w="2928" w:type="dxa"/>
            <w:gridSpan w:val="4"/>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40" w:type="dxa"/>
            <w:gridSpan w:val="4"/>
            <w:vAlign w:val="center"/>
          </w:tcPr>
          <w:p>
            <w:pPr>
              <w:spacing w:line="300" w:lineRule="auto"/>
              <w:jc w:val="center"/>
              <w:rPr>
                <w:rFonts w:cs="Times New Roman"/>
                <w:color w:val="auto"/>
                <w:sz w:val="15"/>
                <w:szCs w:val="15"/>
              </w:rPr>
            </w:pPr>
            <w:r>
              <w:rPr>
                <w:rFonts w:hint="eastAsia" w:cs="Times New Roman"/>
                <w:color w:val="auto"/>
                <w:sz w:val="15"/>
                <w:szCs w:val="15"/>
              </w:rPr>
              <w:t>构件类型</w:t>
            </w:r>
          </w:p>
        </w:tc>
        <w:tc>
          <w:tcPr>
            <w:tcW w:w="1608"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各楼层非承重围护墙中非砌筑墙体和非现场浇筑墙体的外表面积之和A</w:t>
            </w:r>
            <w:r>
              <w:rPr>
                <w:rFonts w:hint="eastAsia" w:cs="Times New Roman"/>
                <w:color w:val="auto"/>
                <w:sz w:val="15"/>
                <w:szCs w:val="15"/>
                <w:vertAlign w:val="subscript"/>
              </w:rPr>
              <w:t>2a</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232"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各楼层非承重围护墙外表面积总面积A</w:t>
            </w:r>
            <w:r>
              <w:rPr>
                <w:rFonts w:hint="eastAsia" w:cs="Times New Roman"/>
                <w:color w:val="auto"/>
                <w:sz w:val="15"/>
                <w:szCs w:val="15"/>
                <w:vertAlign w:val="subscript"/>
              </w:rPr>
              <w:t>w1</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非承重围护墙中非砌筑墙体和非现场浇筑墙体的应用比例Q</w:t>
            </w:r>
            <w:r>
              <w:rPr>
                <w:rFonts w:hint="eastAsia" w:cs="Times New Roman"/>
                <w:color w:val="auto"/>
                <w:sz w:val="15"/>
                <w:szCs w:val="15"/>
                <w:vertAlign w:val="subscript"/>
              </w:rPr>
              <w:t>2a</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0" w:type="dxa"/>
            <w:gridSpan w:val="2"/>
            <w:vMerge w:val="restart"/>
            <w:vAlign w:val="center"/>
          </w:tcPr>
          <w:p>
            <w:pPr>
              <w:spacing w:line="300" w:lineRule="auto"/>
              <w:jc w:val="center"/>
              <w:rPr>
                <w:rFonts w:cs="Times New Roman"/>
                <w:color w:val="auto"/>
                <w:sz w:val="15"/>
                <w:szCs w:val="15"/>
              </w:rPr>
            </w:pPr>
            <w:r>
              <w:rPr>
                <w:rFonts w:hint="eastAsia" w:cs="Times New Roman"/>
                <w:color w:val="auto"/>
                <w:sz w:val="15"/>
                <w:szCs w:val="15"/>
              </w:rPr>
              <w:t>非承重围护墙中非砌筑和非现场浇筑墙体</w:t>
            </w:r>
          </w:p>
        </w:tc>
        <w:tc>
          <w:tcPr>
            <w:tcW w:w="86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608" w:type="dxa"/>
            <w:gridSpan w:val="3"/>
            <w:vAlign w:val="center"/>
          </w:tcPr>
          <w:p>
            <w:pPr>
              <w:spacing w:line="300" w:lineRule="auto"/>
              <w:jc w:val="center"/>
              <w:rPr>
                <w:rFonts w:cs="Times New Roman"/>
                <w:color w:val="auto"/>
                <w:sz w:val="15"/>
                <w:szCs w:val="15"/>
              </w:rPr>
            </w:pPr>
          </w:p>
        </w:tc>
        <w:tc>
          <w:tcPr>
            <w:tcW w:w="1232"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0" w:type="dxa"/>
            <w:gridSpan w:val="2"/>
            <w:vMerge w:val="continue"/>
            <w:vAlign w:val="center"/>
          </w:tcPr>
          <w:p>
            <w:pPr>
              <w:spacing w:line="300" w:lineRule="auto"/>
              <w:jc w:val="center"/>
              <w:rPr>
                <w:rFonts w:cs="Times New Roman"/>
                <w:color w:val="auto"/>
                <w:sz w:val="15"/>
                <w:szCs w:val="15"/>
              </w:rPr>
            </w:pPr>
          </w:p>
        </w:tc>
        <w:tc>
          <w:tcPr>
            <w:tcW w:w="86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608" w:type="dxa"/>
            <w:gridSpan w:val="3"/>
            <w:vAlign w:val="center"/>
          </w:tcPr>
          <w:p>
            <w:pPr>
              <w:spacing w:line="300" w:lineRule="auto"/>
              <w:jc w:val="center"/>
              <w:rPr>
                <w:rFonts w:cs="Times New Roman"/>
                <w:color w:val="auto"/>
                <w:sz w:val="15"/>
                <w:szCs w:val="15"/>
              </w:rPr>
            </w:pPr>
          </w:p>
        </w:tc>
        <w:tc>
          <w:tcPr>
            <w:tcW w:w="1232"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22" w:type="dxa"/>
            <w:gridSpan w:val="12"/>
          </w:tcPr>
          <w:p>
            <w:pPr>
              <w:spacing w:line="300" w:lineRule="auto"/>
              <w:jc w:val="center"/>
              <w:rPr>
                <w:rFonts w:cs="Times New Roman"/>
                <w:color w:val="auto"/>
                <w:sz w:val="15"/>
                <w:szCs w:val="15"/>
              </w:rPr>
            </w:pPr>
            <w:r>
              <w:rPr>
                <w:rFonts w:hint="eastAsia" w:cs="Times New Roman"/>
                <w:color w:val="auto"/>
                <w:sz w:val="15"/>
                <w:szCs w:val="15"/>
              </w:rPr>
              <w:t>Q</w:t>
            </w:r>
            <w:r>
              <w:rPr>
                <w:rFonts w:hint="eastAsia" w:cs="Times New Roman"/>
                <w:color w:val="auto"/>
                <w:sz w:val="15"/>
                <w:szCs w:val="15"/>
                <w:vertAlign w:val="subscript"/>
              </w:rPr>
              <w:t>2a</w:t>
            </w:r>
            <w:r>
              <w:rPr>
                <w:rFonts w:ascii="Arial" w:hAnsi="Arial" w:cs="Arial"/>
                <w:color w:val="auto"/>
                <w:sz w:val="15"/>
                <w:szCs w:val="15"/>
              </w:rPr>
              <w:t>≥</w:t>
            </w:r>
            <w:r>
              <w:rPr>
                <w:rFonts w:hint="eastAsia" w:cs="Times New Roman"/>
                <w:color w:val="auto"/>
                <w:sz w:val="15"/>
                <w:szCs w:val="15"/>
              </w:rPr>
              <w:t>80%，指标得分=5；</w:t>
            </w:r>
            <w:r>
              <w:rPr>
                <w:rFonts w:cs="Times New Roman"/>
                <w:color w:val="auto"/>
                <w:sz w:val="15"/>
                <w:szCs w:val="15"/>
              </w:rPr>
              <w:t>Q</w:t>
            </w:r>
            <w:r>
              <w:rPr>
                <w:rFonts w:cs="Times New Roman"/>
                <w:color w:val="auto"/>
                <w:sz w:val="15"/>
                <w:szCs w:val="15"/>
                <w:vertAlign w:val="subscript"/>
              </w:rPr>
              <w:t xml:space="preserve">2a </w:t>
            </w:r>
            <w:r>
              <w:rPr>
                <w:rFonts w:cs="Times New Roman"/>
                <w:color w:val="auto"/>
                <w:sz w:val="15"/>
                <w:szCs w:val="15"/>
              </w:rPr>
              <w:t>=A</w:t>
            </w:r>
            <w:r>
              <w:rPr>
                <w:rFonts w:cs="Times New Roman"/>
                <w:color w:val="auto"/>
                <w:sz w:val="15"/>
                <w:szCs w:val="15"/>
                <w:vertAlign w:val="subscript"/>
              </w:rPr>
              <w:t>2a</w:t>
            </w:r>
            <w:r>
              <w:rPr>
                <w:rFonts w:cs="Times New Roman"/>
                <w:color w:val="auto"/>
                <w:sz w:val="15"/>
                <w:szCs w:val="15"/>
              </w:rPr>
              <w:t>/A</w:t>
            </w:r>
            <w:r>
              <w:rPr>
                <w:rFonts w:cs="Times New Roman"/>
                <w:color w:val="auto"/>
                <w:sz w:val="15"/>
                <w:szCs w:val="15"/>
                <w:vertAlign w:val="subscript"/>
              </w:rPr>
              <w:t>w1</w:t>
            </w:r>
            <w:r>
              <w:rPr>
                <w:rFonts w:cs="Times New Roman"/>
                <w:color w:val="auto"/>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40" w:type="dxa"/>
            <w:gridSpan w:val="4"/>
            <w:vAlign w:val="center"/>
          </w:tcPr>
          <w:p>
            <w:pPr>
              <w:spacing w:line="300" w:lineRule="auto"/>
              <w:jc w:val="center"/>
              <w:rPr>
                <w:rFonts w:cs="Times New Roman"/>
                <w:color w:val="auto"/>
                <w:sz w:val="15"/>
                <w:szCs w:val="15"/>
              </w:rPr>
            </w:pPr>
            <w:r>
              <w:rPr>
                <w:rFonts w:hint="eastAsia" w:cs="Times New Roman"/>
                <w:color w:val="auto"/>
                <w:sz w:val="15"/>
                <w:szCs w:val="15"/>
              </w:rPr>
              <w:t>构件类型</w:t>
            </w:r>
          </w:p>
        </w:tc>
        <w:tc>
          <w:tcPr>
            <w:tcW w:w="1608"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各楼层采用墙体保温装饰一体化或采用墙体保温一体化或采用保温装饰一体化的墙面外表面积之和A</w:t>
            </w:r>
            <w:r>
              <w:rPr>
                <w:rFonts w:hint="eastAsia" w:cs="Times New Roman"/>
                <w:color w:val="auto"/>
                <w:sz w:val="15"/>
                <w:szCs w:val="15"/>
                <w:vertAlign w:val="subscript"/>
              </w:rPr>
              <w:t>2b</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232"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各楼层围护墙外表面积总面积A</w:t>
            </w:r>
            <w:r>
              <w:rPr>
                <w:rFonts w:hint="eastAsia" w:cs="Times New Roman"/>
                <w:color w:val="auto"/>
                <w:sz w:val="15"/>
                <w:szCs w:val="15"/>
                <w:vertAlign w:val="subscript"/>
              </w:rPr>
              <w:t>w2</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围护墙采用墙体保温装饰一体化或采用墙体保温一体</w:t>
            </w:r>
          </w:p>
          <w:p>
            <w:pPr>
              <w:spacing w:line="300" w:lineRule="auto"/>
              <w:jc w:val="center"/>
              <w:rPr>
                <w:rFonts w:cs="Times New Roman"/>
                <w:color w:val="auto"/>
                <w:sz w:val="15"/>
                <w:szCs w:val="15"/>
              </w:rPr>
            </w:pPr>
            <w:r>
              <w:rPr>
                <w:rFonts w:hint="eastAsia" w:cs="Times New Roman"/>
                <w:color w:val="auto"/>
                <w:sz w:val="15"/>
                <w:szCs w:val="15"/>
              </w:rPr>
              <w:t>化或采用保温装饰一体化的应用比例Q</w:t>
            </w:r>
            <w:r>
              <w:rPr>
                <w:rFonts w:hint="eastAsia" w:cs="Times New Roman"/>
                <w:color w:val="auto"/>
                <w:sz w:val="15"/>
                <w:szCs w:val="15"/>
                <w:vertAlign w:val="subscript"/>
              </w:rPr>
              <w:t>2b</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80" w:type="dxa"/>
            <w:gridSpan w:val="2"/>
            <w:vMerge w:val="restart"/>
            <w:vAlign w:val="center"/>
          </w:tcPr>
          <w:p>
            <w:pPr>
              <w:widowControl/>
              <w:spacing w:line="300" w:lineRule="auto"/>
              <w:jc w:val="center"/>
              <w:rPr>
                <w:rFonts w:cs="Times New Roman"/>
                <w:color w:val="auto"/>
                <w:sz w:val="15"/>
                <w:szCs w:val="15"/>
              </w:rPr>
            </w:pPr>
            <w:r>
              <w:rPr>
                <w:rFonts w:hint="eastAsia" w:cs="Times New Roman"/>
                <w:color w:val="auto"/>
                <w:sz w:val="15"/>
                <w:szCs w:val="15"/>
              </w:rPr>
              <w:t>围护墙与保温装饰一体化</w:t>
            </w:r>
          </w:p>
          <w:p>
            <w:pPr>
              <w:widowControl/>
              <w:spacing w:line="300" w:lineRule="auto"/>
              <w:jc w:val="center"/>
              <w:rPr>
                <w:color w:val="auto"/>
              </w:rPr>
            </w:pPr>
            <w:r>
              <w:rPr>
                <w:rFonts w:hint="eastAsia" w:cs="Times New Roman"/>
                <w:color w:val="auto"/>
                <w:sz w:val="15"/>
                <w:szCs w:val="15"/>
              </w:rPr>
              <w:t>（围护墙与保温一体化）</w:t>
            </w:r>
          </w:p>
          <w:p>
            <w:pPr>
              <w:spacing w:line="300" w:lineRule="auto"/>
              <w:jc w:val="center"/>
              <w:rPr>
                <w:rFonts w:cs="Times New Roman"/>
                <w:color w:val="auto"/>
                <w:sz w:val="15"/>
                <w:szCs w:val="15"/>
              </w:rPr>
            </w:pPr>
            <w:r>
              <w:rPr>
                <w:rFonts w:hint="eastAsia" w:cs="Times New Roman"/>
                <w:color w:val="auto"/>
                <w:sz w:val="15"/>
                <w:szCs w:val="15"/>
              </w:rPr>
              <w:t>（保温装饰一体化）</w:t>
            </w:r>
          </w:p>
        </w:tc>
        <w:tc>
          <w:tcPr>
            <w:tcW w:w="86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608" w:type="dxa"/>
            <w:gridSpan w:val="3"/>
            <w:vAlign w:val="center"/>
          </w:tcPr>
          <w:p>
            <w:pPr>
              <w:spacing w:line="300" w:lineRule="auto"/>
              <w:jc w:val="center"/>
              <w:rPr>
                <w:rFonts w:cs="Times New Roman"/>
                <w:color w:val="auto"/>
                <w:sz w:val="15"/>
                <w:szCs w:val="15"/>
              </w:rPr>
            </w:pPr>
          </w:p>
        </w:tc>
        <w:tc>
          <w:tcPr>
            <w:tcW w:w="1232"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0" w:type="dxa"/>
            <w:gridSpan w:val="2"/>
            <w:vMerge w:val="continue"/>
            <w:vAlign w:val="center"/>
          </w:tcPr>
          <w:p>
            <w:pPr>
              <w:spacing w:line="300" w:lineRule="auto"/>
              <w:jc w:val="center"/>
              <w:rPr>
                <w:rFonts w:cs="Times New Roman"/>
                <w:color w:val="auto"/>
                <w:sz w:val="15"/>
                <w:szCs w:val="15"/>
              </w:rPr>
            </w:pPr>
          </w:p>
        </w:tc>
        <w:tc>
          <w:tcPr>
            <w:tcW w:w="86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608" w:type="dxa"/>
            <w:gridSpan w:val="3"/>
            <w:vAlign w:val="center"/>
          </w:tcPr>
          <w:p>
            <w:pPr>
              <w:spacing w:line="300" w:lineRule="auto"/>
              <w:jc w:val="center"/>
              <w:rPr>
                <w:rFonts w:cs="Times New Roman"/>
                <w:color w:val="auto"/>
                <w:sz w:val="15"/>
                <w:szCs w:val="15"/>
              </w:rPr>
            </w:pPr>
          </w:p>
        </w:tc>
        <w:tc>
          <w:tcPr>
            <w:tcW w:w="1232"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22" w:type="dxa"/>
            <w:gridSpan w:val="12"/>
            <w:vAlign w:val="center"/>
          </w:tcPr>
          <w:p>
            <w:pPr>
              <w:widowControl/>
              <w:spacing w:line="300" w:lineRule="auto"/>
              <w:jc w:val="center"/>
              <w:rPr>
                <w:color w:val="auto"/>
              </w:rPr>
            </w:pPr>
            <w:r>
              <w:rPr>
                <w:rFonts w:hint="eastAsia" w:cs="Times New Roman"/>
                <w:color w:val="auto"/>
                <w:sz w:val="15"/>
                <w:szCs w:val="15"/>
              </w:rPr>
              <w:t>围护墙与保温装饰一体化：50%</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2b</w:t>
            </w:r>
            <w:r>
              <w:rPr>
                <w:rFonts w:ascii="Arial" w:hAnsi="Arial" w:cs="Arial"/>
                <w:color w:val="auto"/>
                <w:sz w:val="15"/>
                <w:szCs w:val="15"/>
              </w:rPr>
              <w:t>≤</w:t>
            </w:r>
            <w:r>
              <w:rPr>
                <w:rFonts w:hint="eastAsia" w:cs="Times New Roman"/>
                <w:color w:val="auto"/>
                <w:sz w:val="15"/>
                <w:szCs w:val="15"/>
              </w:rPr>
              <w:t>80%，指标得分=2~5*；围护墙与保温一体化：50%</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2b</w:t>
            </w:r>
            <w:r>
              <w:rPr>
                <w:rFonts w:ascii="Arial" w:hAnsi="Arial" w:cs="Arial"/>
                <w:color w:val="auto"/>
                <w:sz w:val="15"/>
                <w:szCs w:val="15"/>
              </w:rPr>
              <w:t>≤</w:t>
            </w:r>
            <w:r>
              <w:rPr>
                <w:rFonts w:hint="eastAsia" w:cs="Times New Roman"/>
                <w:color w:val="auto"/>
                <w:sz w:val="15"/>
                <w:szCs w:val="15"/>
              </w:rPr>
              <w:t>80%，指标得分=1.4~3.5*；保温装饰一体化：50%</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2b</w:t>
            </w:r>
            <w:r>
              <w:rPr>
                <w:rFonts w:ascii="Arial" w:hAnsi="Arial" w:cs="Arial"/>
                <w:color w:val="auto"/>
                <w:sz w:val="15"/>
                <w:szCs w:val="15"/>
              </w:rPr>
              <w:t>≤</w:t>
            </w:r>
            <w:r>
              <w:rPr>
                <w:rFonts w:hint="eastAsia" w:cs="Times New Roman"/>
                <w:color w:val="auto"/>
                <w:sz w:val="15"/>
                <w:szCs w:val="15"/>
              </w:rPr>
              <w:t>80%，指标得分=1.4~3.5*；</w:t>
            </w:r>
            <w:r>
              <w:rPr>
                <w:rFonts w:cs="Times New Roman"/>
                <w:color w:val="auto"/>
                <w:sz w:val="15"/>
                <w:szCs w:val="15"/>
              </w:rPr>
              <w:t>Q</w:t>
            </w:r>
            <w:r>
              <w:rPr>
                <w:rFonts w:cs="Times New Roman"/>
                <w:color w:val="auto"/>
                <w:sz w:val="15"/>
                <w:szCs w:val="15"/>
                <w:vertAlign w:val="subscript"/>
              </w:rPr>
              <w:t>2b</w:t>
            </w:r>
            <w:r>
              <w:rPr>
                <w:rFonts w:cs="Times New Roman"/>
                <w:color w:val="auto"/>
                <w:sz w:val="15"/>
                <w:szCs w:val="15"/>
              </w:rPr>
              <w:t>=A</w:t>
            </w:r>
            <w:r>
              <w:rPr>
                <w:rFonts w:cs="Times New Roman"/>
                <w:color w:val="auto"/>
                <w:sz w:val="15"/>
                <w:szCs w:val="15"/>
                <w:vertAlign w:val="subscript"/>
              </w:rPr>
              <w:t>2b</w:t>
            </w:r>
            <w:r>
              <w:rPr>
                <w:rFonts w:cs="Times New Roman"/>
                <w:color w:val="auto"/>
                <w:sz w:val="15"/>
                <w:szCs w:val="15"/>
              </w:rPr>
              <w:t>/A</w:t>
            </w:r>
            <w:r>
              <w:rPr>
                <w:rFonts w:cs="Times New Roman"/>
                <w:color w:val="auto"/>
                <w:sz w:val="15"/>
                <w:szCs w:val="15"/>
                <w:vertAlign w:val="subscript"/>
              </w:rPr>
              <w:t>w2</w:t>
            </w:r>
            <w:r>
              <w:rPr>
                <w:rFonts w:cs="Times New Roman"/>
                <w:color w:val="auto"/>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40" w:type="dxa"/>
            <w:gridSpan w:val="4"/>
            <w:vAlign w:val="center"/>
          </w:tcPr>
          <w:p>
            <w:pPr>
              <w:spacing w:line="300" w:lineRule="auto"/>
              <w:jc w:val="center"/>
              <w:rPr>
                <w:rFonts w:cs="Times New Roman"/>
                <w:color w:val="auto"/>
                <w:sz w:val="15"/>
                <w:szCs w:val="15"/>
              </w:rPr>
            </w:pPr>
            <w:r>
              <w:rPr>
                <w:rFonts w:hint="eastAsia" w:cs="Times New Roman"/>
                <w:color w:val="auto"/>
                <w:sz w:val="15"/>
                <w:szCs w:val="15"/>
              </w:rPr>
              <w:t>构件类型</w:t>
            </w:r>
          </w:p>
        </w:tc>
        <w:tc>
          <w:tcPr>
            <w:tcW w:w="1608"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各楼层内隔墙中非砌筑墙体的墙面面积之和A</w:t>
            </w:r>
            <w:r>
              <w:rPr>
                <w:rFonts w:hint="eastAsia" w:cs="Times New Roman"/>
                <w:color w:val="auto"/>
                <w:sz w:val="15"/>
                <w:szCs w:val="15"/>
                <w:vertAlign w:val="subscript"/>
              </w:rPr>
              <w:t>2c</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232"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各楼层内隔墙墙面总面积A</w:t>
            </w:r>
            <w:r>
              <w:rPr>
                <w:rFonts w:hint="eastAsia" w:cs="Times New Roman"/>
                <w:color w:val="auto"/>
                <w:sz w:val="15"/>
                <w:szCs w:val="15"/>
                <w:vertAlign w:val="subscript"/>
              </w:rPr>
              <w:t>w3</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内隔墙中非砌筑墙体的应用比例Q</w:t>
            </w:r>
            <w:r>
              <w:rPr>
                <w:rFonts w:hint="eastAsia" w:cs="Times New Roman"/>
                <w:color w:val="auto"/>
                <w:sz w:val="15"/>
                <w:szCs w:val="15"/>
                <w:vertAlign w:val="subscript"/>
              </w:rPr>
              <w:t>2c</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0" w:type="dxa"/>
            <w:gridSpan w:val="2"/>
            <w:vMerge w:val="restart"/>
            <w:vAlign w:val="center"/>
          </w:tcPr>
          <w:p>
            <w:pPr>
              <w:widowControl/>
              <w:spacing w:line="300" w:lineRule="auto"/>
              <w:jc w:val="center"/>
              <w:rPr>
                <w:rFonts w:cs="Times New Roman"/>
                <w:color w:val="auto"/>
                <w:sz w:val="15"/>
                <w:szCs w:val="15"/>
              </w:rPr>
            </w:pPr>
            <w:r>
              <w:rPr>
                <w:rFonts w:hint="eastAsia" w:cs="Times New Roman"/>
                <w:color w:val="auto"/>
                <w:sz w:val="15"/>
                <w:szCs w:val="15"/>
              </w:rPr>
              <w:t>内隔墙非砌筑墙体</w:t>
            </w:r>
          </w:p>
        </w:tc>
        <w:tc>
          <w:tcPr>
            <w:tcW w:w="86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608" w:type="dxa"/>
            <w:gridSpan w:val="3"/>
            <w:vAlign w:val="center"/>
          </w:tcPr>
          <w:p>
            <w:pPr>
              <w:spacing w:line="300" w:lineRule="auto"/>
              <w:jc w:val="center"/>
              <w:rPr>
                <w:rFonts w:cs="Times New Roman"/>
                <w:color w:val="auto"/>
                <w:sz w:val="15"/>
                <w:szCs w:val="15"/>
              </w:rPr>
            </w:pPr>
          </w:p>
        </w:tc>
        <w:tc>
          <w:tcPr>
            <w:tcW w:w="1232"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0" w:type="dxa"/>
            <w:gridSpan w:val="2"/>
            <w:vMerge w:val="continue"/>
            <w:vAlign w:val="center"/>
          </w:tcPr>
          <w:p>
            <w:pPr>
              <w:spacing w:line="300" w:lineRule="auto"/>
              <w:jc w:val="center"/>
              <w:rPr>
                <w:rFonts w:cs="Times New Roman"/>
                <w:color w:val="auto"/>
                <w:sz w:val="15"/>
                <w:szCs w:val="15"/>
              </w:rPr>
            </w:pPr>
          </w:p>
        </w:tc>
        <w:tc>
          <w:tcPr>
            <w:tcW w:w="86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608" w:type="dxa"/>
            <w:gridSpan w:val="3"/>
            <w:vAlign w:val="center"/>
          </w:tcPr>
          <w:p>
            <w:pPr>
              <w:spacing w:line="300" w:lineRule="auto"/>
              <w:jc w:val="center"/>
              <w:rPr>
                <w:rFonts w:cs="Times New Roman"/>
                <w:color w:val="auto"/>
                <w:sz w:val="15"/>
                <w:szCs w:val="15"/>
              </w:rPr>
            </w:pPr>
          </w:p>
        </w:tc>
        <w:tc>
          <w:tcPr>
            <w:tcW w:w="1232"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22" w:type="dxa"/>
            <w:gridSpan w:val="12"/>
            <w:vAlign w:val="center"/>
          </w:tcPr>
          <w:p>
            <w:pPr>
              <w:spacing w:line="300" w:lineRule="auto"/>
              <w:jc w:val="center"/>
              <w:rPr>
                <w:rFonts w:cs="Times New Roman"/>
                <w:color w:val="auto"/>
                <w:sz w:val="15"/>
                <w:szCs w:val="15"/>
              </w:rPr>
            </w:pPr>
            <w:r>
              <w:rPr>
                <w:rFonts w:hint="eastAsia" w:cs="Times New Roman"/>
                <w:color w:val="auto"/>
                <w:sz w:val="15"/>
                <w:szCs w:val="15"/>
              </w:rPr>
              <w:t>Q</w:t>
            </w:r>
            <w:r>
              <w:rPr>
                <w:rFonts w:hint="eastAsia" w:cs="Times New Roman"/>
                <w:color w:val="auto"/>
                <w:sz w:val="15"/>
                <w:szCs w:val="15"/>
                <w:vertAlign w:val="subscript"/>
              </w:rPr>
              <w:t>2c</w:t>
            </w:r>
            <w:r>
              <w:rPr>
                <w:rFonts w:ascii="Arial" w:hAnsi="Arial" w:cs="Arial"/>
                <w:color w:val="auto"/>
                <w:sz w:val="15"/>
                <w:szCs w:val="15"/>
              </w:rPr>
              <w:t>≥</w:t>
            </w:r>
            <w:r>
              <w:rPr>
                <w:rFonts w:hint="eastAsia" w:cs="Times New Roman"/>
                <w:color w:val="auto"/>
                <w:sz w:val="15"/>
                <w:szCs w:val="15"/>
              </w:rPr>
              <w:t>50%，指标得分=5；</w:t>
            </w:r>
            <w:r>
              <w:rPr>
                <w:rFonts w:cs="Times New Roman"/>
                <w:color w:val="auto"/>
                <w:sz w:val="15"/>
                <w:szCs w:val="15"/>
              </w:rPr>
              <w:t>Q</w:t>
            </w:r>
            <w:r>
              <w:rPr>
                <w:rFonts w:cs="Times New Roman"/>
                <w:color w:val="auto"/>
                <w:sz w:val="15"/>
                <w:szCs w:val="15"/>
                <w:vertAlign w:val="subscript"/>
              </w:rPr>
              <w:t>2c</w:t>
            </w:r>
            <w:r>
              <w:rPr>
                <w:rFonts w:cs="Times New Roman"/>
                <w:color w:val="auto"/>
                <w:sz w:val="15"/>
                <w:szCs w:val="15"/>
              </w:rPr>
              <w:t>=A</w:t>
            </w:r>
            <w:r>
              <w:rPr>
                <w:rFonts w:cs="Times New Roman"/>
                <w:color w:val="auto"/>
                <w:sz w:val="15"/>
                <w:szCs w:val="15"/>
                <w:vertAlign w:val="subscript"/>
              </w:rPr>
              <w:t>2c</w:t>
            </w:r>
            <w:r>
              <w:rPr>
                <w:rFonts w:cs="Times New Roman"/>
                <w:color w:val="auto"/>
                <w:sz w:val="15"/>
                <w:szCs w:val="15"/>
              </w:rPr>
              <w:t>/A</w:t>
            </w:r>
            <w:r>
              <w:rPr>
                <w:rFonts w:cs="Times New Roman"/>
                <w:color w:val="auto"/>
                <w:sz w:val="15"/>
                <w:szCs w:val="15"/>
                <w:vertAlign w:val="subscript"/>
              </w:rPr>
              <w:t>w3</w:t>
            </w:r>
            <w:r>
              <w:rPr>
                <w:rFonts w:cs="Times New Roman"/>
                <w:color w:val="auto"/>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840" w:type="dxa"/>
            <w:gridSpan w:val="4"/>
            <w:vAlign w:val="center"/>
          </w:tcPr>
          <w:p>
            <w:pPr>
              <w:spacing w:line="300" w:lineRule="auto"/>
              <w:jc w:val="center"/>
              <w:rPr>
                <w:rFonts w:cs="Times New Roman"/>
                <w:color w:val="auto"/>
                <w:sz w:val="15"/>
                <w:szCs w:val="15"/>
              </w:rPr>
            </w:pPr>
            <w:r>
              <w:rPr>
                <w:rFonts w:hint="eastAsia" w:cs="Times New Roman"/>
                <w:color w:val="auto"/>
                <w:sz w:val="15"/>
                <w:szCs w:val="15"/>
              </w:rPr>
              <w:t>构件类型</w:t>
            </w:r>
          </w:p>
        </w:tc>
        <w:tc>
          <w:tcPr>
            <w:tcW w:w="1608"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各楼层内隔墙采用墙体、管线、装修一体化或采用墙体、管线一体化的墙面面积之和A</w:t>
            </w:r>
            <w:r>
              <w:rPr>
                <w:rFonts w:hint="eastAsia" w:cs="Times New Roman"/>
                <w:color w:val="auto"/>
                <w:sz w:val="15"/>
                <w:szCs w:val="15"/>
                <w:vertAlign w:val="subscript"/>
              </w:rPr>
              <w:t>2d</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232"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各楼层内隔墙墙面总面积A</w:t>
            </w:r>
            <w:r>
              <w:rPr>
                <w:rFonts w:hint="eastAsia" w:cs="Times New Roman"/>
                <w:color w:val="auto"/>
                <w:sz w:val="15"/>
                <w:szCs w:val="15"/>
                <w:vertAlign w:val="subscript"/>
              </w:rPr>
              <w:t>w3</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内隔墙采用墙体、管线、装修一体化或采用墙体、管线一体化的应用比例Q</w:t>
            </w:r>
            <w:r>
              <w:rPr>
                <w:rFonts w:hint="eastAsia" w:cs="Times New Roman"/>
                <w:color w:val="auto"/>
                <w:sz w:val="15"/>
                <w:szCs w:val="15"/>
                <w:vertAlign w:val="subscript"/>
              </w:rPr>
              <w:t>2d</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0" w:type="dxa"/>
            <w:gridSpan w:val="2"/>
            <w:vMerge w:val="restart"/>
            <w:vAlign w:val="center"/>
          </w:tcPr>
          <w:p>
            <w:pPr>
              <w:spacing w:line="300" w:lineRule="auto"/>
              <w:jc w:val="center"/>
              <w:rPr>
                <w:rFonts w:cs="Times New Roman"/>
                <w:color w:val="auto"/>
                <w:sz w:val="15"/>
                <w:szCs w:val="15"/>
              </w:rPr>
            </w:pPr>
            <w:r>
              <w:rPr>
                <w:rFonts w:hint="eastAsia" w:cs="Times New Roman"/>
                <w:color w:val="auto"/>
                <w:sz w:val="15"/>
                <w:szCs w:val="15"/>
              </w:rPr>
              <w:t>内隔墙与管线、装修一体化</w:t>
            </w:r>
          </w:p>
          <w:p>
            <w:pPr>
              <w:spacing w:line="300" w:lineRule="auto"/>
              <w:jc w:val="center"/>
              <w:rPr>
                <w:color w:val="auto"/>
              </w:rPr>
            </w:pPr>
            <w:r>
              <w:rPr>
                <w:rFonts w:hint="eastAsia" w:cs="Times New Roman"/>
                <w:color w:val="auto"/>
                <w:sz w:val="15"/>
                <w:szCs w:val="15"/>
              </w:rPr>
              <w:t>（内隔墙与管线一体化）</w:t>
            </w:r>
          </w:p>
        </w:tc>
        <w:tc>
          <w:tcPr>
            <w:tcW w:w="86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608" w:type="dxa"/>
            <w:gridSpan w:val="3"/>
            <w:vAlign w:val="center"/>
          </w:tcPr>
          <w:p>
            <w:pPr>
              <w:spacing w:line="300" w:lineRule="auto"/>
              <w:jc w:val="center"/>
              <w:rPr>
                <w:rFonts w:cs="Times New Roman"/>
                <w:color w:val="auto"/>
                <w:sz w:val="15"/>
                <w:szCs w:val="15"/>
              </w:rPr>
            </w:pPr>
          </w:p>
        </w:tc>
        <w:tc>
          <w:tcPr>
            <w:tcW w:w="1232"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0" w:type="dxa"/>
            <w:gridSpan w:val="2"/>
            <w:vMerge w:val="continue"/>
            <w:vAlign w:val="center"/>
          </w:tcPr>
          <w:p>
            <w:pPr>
              <w:spacing w:line="300" w:lineRule="auto"/>
              <w:jc w:val="center"/>
              <w:rPr>
                <w:rFonts w:cs="Times New Roman"/>
                <w:color w:val="auto"/>
                <w:sz w:val="15"/>
                <w:szCs w:val="15"/>
              </w:rPr>
            </w:pPr>
          </w:p>
        </w:tc>
        <w:tc>
          <w:tcPr>
            <w:tcW w:w="86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608" w:type="dxa"/>
            <w:gridSpan w:val="3"/>
            <w:vAlign w:val="center"/>
          </w:tcPr>
          <w:p>
            <w:pPr>
              <w:spacing w:line="300" w:lineRule="auto"/>
              <w:jc w:val="center"/>
              <w:rPr>
                <w:rFonts w:cs="Times New Roman"/>
                <w:color w:val="auto"/>
                <w:sz w:val="15"/>
                <w:szCs w:val="15"/>
              </w:rPr>
            </w:pPr>
          </w:p>
        </w:tc>
        <w:tc>
          <w:tcPr>
            <w:tcW w:w="1232"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22" w:type="dxa"/>
            <w:gridSpan w:val="12"/>
          </w:tcPr>
          <w:p>
            <w:pPr>
              <w:widowControl/>
              <w:spacing w:line="300" w:lineRule="auto"/>
              <w:jc w:val="center"/>
              <w:rPr>
                <w:rFonts w:cs="Times New Roman"/>
                <w:color w:val="auto"/>
                <w:sz w:val="15"/>
                <w:szCs w:val="15"/>
              </w:rPr>
            </w:pPr>
            <w:r>
              <w:rPr>
                <w:rFonts w:hint="eastAsia" w:cs="Times New Roman"/>
                <w:color w:val="auto"/>
                <w:sz w:val="15"/>
                <w:szCs w:val="15"/>
              </w:rPr>
              <w:t>内隔墙与管线、装修一体化：50%</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2d</w:t>
            </w:r>
            <w:r>
              <w:rPr>
                <w:rFonts w:ascii="Arial" w:hAnsi="Arial" w:cs="Arial"/>
                <w:color w:val="auto"/>
                <w:sz w:val="15"/>
                <w:szCs w:val="15"/>
              </w:rPr>
              <w:t>≤</w:t>
            </w:r>
            <w:r>
              <w:rPr>
                <w:rFonts w:hint="eastAsia" w:cs="Times New Roman"/>
                <w:color w:val="auto"/>
                <w:sz w:val="15"/>
                <w:szCs w:val="15"/>
              </w:rPr>
              <w:t>80%，指标得分=2~5*；内隔墙与管线一体化：50%</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2d</w:t>
            </w:r>
            <w:r>
              <w:rPr>
                <w:rFonts w:ascii="Arial" w:hAnsi="Arial" w:cs="Arial"/>
                <w:color w:val="auto"/>
                <w:sz w:val="15"/>
                <w:szCs w:val="15"/>
              </w:rPr>
              <w:t>≤</w:t>
            </w:r>
            <w:r>
              <w:rPr>
                <w:rFonts w:hint="eastAsia" w:cs="Times New Roman"/>
                <w:color w:val="auto"/>
                <w:sz w:val="15"/>
                <w:szCs w:val="15"/>
              </w:rPr>
              <w:t>80%，指标得分=1.4~3.5*；</w:t>
            </w:r>
          </w:p>
          <w:p>
            <w:pPr>
              <w:pStyle w:val="2"/>
              <w:spacing w:line="240" w:lineRule="auto"/>
              <w:rPr>
                <w:color w:val="auto"/>
              </w:rPr>
            </w:pPr>
            <w:r>
              <w:rPr>
                <w:color w:val="auto"/>
                <w:sz w:val="15"/>
                <w:szCs w:val="15"/>
              </w:rPr>
              <w:t>Q</w:t>
            </w:r>
            <w:r>
              <w:rPr>
                <w:color w:val="auto"/>
                <w:sz w:val="15"/>
                <w:szCs w:val="15"/>
                <w:vertAlign w:val="subscript"/>
              </w:rPr>
              <w:t>2d</w:t>
            </w:r>
            <w:r>
              <w:rPr>
                <w:color w:val="auto"/>
                <w:sz w:val="15"/>
                <w:szCs w:val="15"/>
              </w:rPr>
              <w:t>=A</w:t>
            </w:r>
            <w:r>
              <w:rPr>
                <w:color w:val="auto"/>
                <w:sz w:val="15"/>
                <w:szCs w:val="15"/>
                <w:vertAlign w:val="subscript"/>
              </w:rPr>
              <w:t>2d/</w:t>
            </w:r>
            <w:r>
              <w:rPr>
                <w:color w:val="auto"/>
                <w:sz w:val="15"/>
                <w:szCs w:val="15"/>
              </w:rPr>
              <w:t>A</w:t>
            </w:r>
            <w:r>
              <w:rPr>
                <w:color w:val="auto"/>
                <w:sz w:val="15"/>
                <w:szCs w:val="15"/>
                <w:vertAlign w:val="subscript"/>
              </w:rPr>
              <w:t>w3</w:t>
            </w:r>
            <w:r>
              <w:rPr>
                <w:color w:val="auto"/>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gridSpan w:val="3"/>
          </w:tcPr>
          <w:p>
            <w:pPr>
              <w:spacing w:line="300" w:lineRule="auto"/>
              <w:ind w:firstLine="150" w:firstLineChars="100"/>
              <w:jc w:val="center"/>
              <w:rPr>
                <w:rFonts w:cs="Times New Roman"/>
                <w:color w:val="auto"/>
                <w:sz w:val="15"/>
                <w:szCs w:val="15"/>
              </w:rPr>
            </w:pPr>
            <w:r>
              <w:rPr>
                <w:rFonts w:hint="eastAsia" w:cs="Times New Roman"/>
                <w:color w:val="auto"/>
                <w:sz w:val="15"/>
                <w:szCs w:val="15"/>
              </w:rPr>
              <w:t>围护墙和内隔墙指标设计得分值Q</w:t>
            </w:r>
            <w:r>
              <w:rPr>
                <w:rFonts w:hint="eastAsia" w:cs="Times New Roman"/>
                <w:color w:val="auto"/>
                <w:sz w:val="15"/>
                <w:szCs w:val="15"/>
                <w:vertAlign w:val="subscript"/>
              </w:rPr>
              <w:t>2D</w:t>
            </w:r>
          </w:p>
        </w:tc>
        <w:tc>
          <w:tcPr>
            <w:tcW w:w="1475" w:type="dxa"/>
            <w:gridSpan w:val="3"/>
          </w:tcPr>
          <w:p>
            <w:pPr>
              <w:spacing w:line="300" w:lineRule="auto"/>
              <w:ind w:firstLine="150" w:firstLineChars="100"/>
              <w:jc w:val="center"/>
              <w:rPr>
                <w:rFonts w:cs="Times New Roman"/>
                <w:color w:val="auto"/>
                <w:sz w:val="15"/>
                <w:szCs w:val="15"/>
              </w:rPr>
            </w:pPr>
          </w:p>
        </w:tc>
        <w:tc>
          <w:tcPr>
            <w:tcW w:w="2752" w:type="dxa"/>
            <w:gridSpan w:val="4"/>
          </w:tcPr>
          <w:p>
            <w:pPr>
              <w:spacing w:line="300" w:lineRule="auto"/>
              <w:ind w:firstLine="150" w:firstLineChars="100"/>
              <w:jc w:val="center"/>
              <w:rPr>
                <w:rFonts w:cs="Times New Roman"/>
                <w:color w:val="auto"/>
                <w:sz w:val="15"/>
                <w:szCs w:val="15"/>
              </w:rPr>
            </w:pPr>
            <w:r>
              <w:rPr>
                <w:rFonts w:hint="eastAsia" w:cs="Times New Roman"/>
                <w:color w:val="auto"/>
                <w:sz w:val="15"/>
                <w:szCs w:val="15"/>
              </w:rPr>
              <w:t>围护墙和内隔墙指标实际得分值Q</w:t>
            </w:r>
            <w:r>
              <w:rPr>
                <w:rFonts w:hint="eastAsia" w:cs="Times New Roman"/>
                <w:color w:val="auto"/>
                <w:sz w:val="15"/>
                <w:szCs w:val="15"/>
                <w:vertAlign w:val="subscript"/>
              </w:rPr>
              <w:t>2A</w:t>
            </w:r>
          </w:p>
        </w:tc>
        <w:tc>
          <w:tcPr>
            <w:tcW w:w="1510" w:type="dxa"/>
            <w:gridSpan w:val="2"/>
          </w:tcPr>
          <w:p>
            <w:pPr>
              <w:spacing w:line="300" w:lineRule="auto"/>
              <w:ind w:firstLine="150" w:firstLineChars="100"/>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6"/>
          </w:tcPr>
          <w:p>
            <w:pPr>
              <w:spacing w:line="300" w:lineRule="auto"/>
              <w:ind w:firstLine="150" w:firstLineChars="100"/>
              <w:jc w:val="center"/>
              <w:rPr>
                <w:rFonts w:cs="Times New Roman"/>
                <w:color w:val="auto"/>
                <w:sz w:val="15"/>
                <w:szCs w:val="15"/>
              </w:rPr>
            </w:pPr>
            <w:r>
              <w:rPr>
                <w:rFonts w:cs="Times New Roman"/>
                <w:color w:val="auto"/>
                <w:sz w:val="15"/>
                <w:szCs w:val="15"/>
              </w:rPr>
              <w:t>验收结论</w:t>
            </w:r>
          </w:p>
        </w:tc>
        <w:tc>
          <w:tcPr>
            <w:tcW w:w="4262" w:type="dxa"/>
            <w:gridSpan w:val="6"/>
          </w:tcPr>
          <w:p>
            <w:pPr>
              <w:spacing w:line="300" w:lineRule="auto"/>
              <w:jc w:val="center"/>
              <w:rPr>
                <w:rFonts w:cs="Times New Roman"/>
                <w:color w:val="auto"/>
                <w:sz w:val="15"/>
                <w:szCs w:val="15"/>
              </w:rPr>
            </w:pPr>
            <w:r>
              <w:rPr>
                <w:rFonts w:cs="Times New Roman"/>
                <w:color w:val="auto"/>
                <w:sz w:val="15"/>
                <w:szCs w:val="15"/>
              </w:rPr>
              <w:t>□</w:t>
            </w:r>
            <w:r>
              <w:rPr>
                <w:rFonts w:hint="eastAsia" w:cs="Times New Roman"/>
                <w:color w:val="auto"/>
                <w:sz w:val="15"/>
                <w:szCs w:val="15"/>
              </w:rPr>
              <w:t xml:space="preserve"> 合格           </w:t>
            </w:r>
            <w:r>
              <w:rPr>
                <w:rFonts w:cs="Times New Roman"/>
                <w:color w:val="auto"/>
                <w:sz w:val="15"/>
                <w:szCs w:val="15"/>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2"/>
          </w:tcPr>
          <w:p>
            <w:pPr>
              <w:spacing w:line="300" w:lineRule="auto"/>
              <w:rPr>
                <w:rFonts w:cs="Times New Roman"/>
                <w:color w:val="auto"/>
                <w:sz w:val="15"/>
                <w:szCs w:val="15"/>
              </w:rPr>
            </w:pPr>
            <w:r>
              <w:rPr>
                <w:rFonts w:hint="eastAsia" w:cs="Times New Roman"/>
                <w:color w:val="auto"/>
                <w:sz w:val="15"/>
                <w:szCs w:val="15"/>
              </w:rPr>
              <w:t>建设单位（签字盖章）：                                  施工单位：（签字盖章）</w:t>
            </w:r>
          </w:p>
          <w:p>
            <w:pPr>
              <w:spacing w:before="312" w:after="312" w:line="300" w:lineRule="auto"/>
              <w:ind w:firstLine="1125" w:firstLineChars="750"/>
              <w:rPr>
                <w:rFonts w:ascii="宋体" w:eastAsia="黑体" w:cs="Times New Roman"/>
                <w:color w:val="auto"/>
                <w:sz w:val="15"/>
                <w:szCs w:val="15"/>
              </w:rPr>
            </w:pPr>
            <w:r>
              <w:rPr>
                <w:rFonts w:hint="eastAsia" w:cs="Times New Roman"/>
                <w:color w:val="auto"/>
                <w:sz w:val="15"/>
                <w:szCs w:val="15"/>
              </w:rPr>
              <w:t>年    月    日                                              年    月    日</w:t>
            </w:r>
          </w:p>
          <w:p>
            <w:pPr>
              <w:spacing w:line="300" w:lineRule="auto"/>
              <w:rPr>
                <w:rFonts w:cs="Times New Roman"/>
                <w:color w:val="auto"/>
                <w:sz w:val="15"/>
                <w:szCs w:val="15"/>
              </w:rPr>
            </w:pPr>
            <w:r>
              <w:rPr>
                <w:rFonts w:hint="eastAsia" w:cs="Times New Roman"/>
                <w:color w:val="auto"/>
                <w:sz w:val="15"/>
                <w:szCs w:val="15"/>
              </w:rPr>
              <w:t>监理单位（签字盖章）：                                  设计单位：（签字盖章）</w:t>
            </w:r>
          </w:p>
          <w:p>
            <w:pPr>
              <w:spacing w:before="312" w:after="312" w:line="300" w:lineRule="auto"/>
              <w:ind w:firstLine="1125" w:firstLineChars="750"/>
              <w:rPr>
                <w:rFonts w:ascii="宋体" w:eastAsia="黑体" w:cs="Times New Roman"/>
                <w:color w:val="auto"/>
                <w:sz w:val="15"/>
                <w:szCs w:val="15"/>
              </w:rPr>
            </w:pPr>
            <w:r>
              <w:rPr>
                <w:rFonts w:hint="eastAsia" w:cs="Times New Roman"/>
                <w:color w:val="auto"/>
                <w:sz w:val="15"/>
                <w:szCs w:val="15"/>
              </w:rPr>
              <w:t>年    月    日                                              年    月    日</w:t>
            </w:r>
          </w:p>
        </w:tc>
      </w:tr>
    </w:tbl>
    <w:p>
      <w:pPr>
        <w:widowControl/>
        <w:spacing w:line="300" w:lineRule="auto"/>
        <w:jc w:val="left"/>
        <w:rPr>
          <w:color w:val="auto"/>
        </w:rPr>
      </w:pPr>
      <w:r>
        <w:rPr>
          <w:rFonts w:ascii="仿宋" w:hAnsi="仿宋" w:eastAsia="仿宋" w:cs="仿宋"/>
          <w:color w:val="auto"/>
          <w:kern w:val="0"/>
          <w:sz w:val="20"/>
          <w:szCs w:val="20"/>
        </w:rPr>
        <w:t>注：表中带“*”项的分值采用“内插法”计算，计算结果取小数点后 1 位。</w:t>
      </w:r>
    </w:p>
    <w:p>
      <w:pPr>
        <w:spacing w:line="300" w:lineRule="auto"/>
        <w:rPr>
          <w:rFonts w:cs="Times New Roman"/>
          <w:color w:val="auto"/>
          <w:sz w:val="24"/>
          <w:szCs w:val="24"/>
        </w:rPr>
      </w:pPr>
      <w:r>
        <w:rPr>
          <w:rFonts w:hint="eastAsia" w:cs="Times New Roman"/>
          <w:color w:val="auto"/>
          <w:sz w:val="24"/>
          <w:szCs w:val="24"/>
        </w:rPr>
        <w:t>6.2.3装修和设备管线装配率验收</w:t>
      </w:r>
    </w:p>
    <w:p>
      <w:pPr>
        <w:spacing w:line="300" w:lineRule="auto"/>
        <w:ind w:firstLine="480" w:firstLineChars="200"/>
        <w:jc w:val="left"/>
        <w:rPr>
          <w:rFonts w:cs="Times New Roman"/>
          <w:color w:val="auto"/>
          <w:sz w:val="24"/>
          <w:szCs w:val="24"/>
        </w:rPr>
      </w:pPr>
      <w:r>
        <w:rPr>
          <w:rFonts w:hint="eastAsia" w:cs="Times New Roman"/>
          <w:color w:val="auto"/>
          <w:sz w:val="24"/>
          <w:szCs w:val="24"/>
        </w:rPr>
        <w:t>装修和设备管线装配率验收参照表6-2-3进行。</w:t>
      </w:r>
    </w:p>
    <w:p>
      <w:pPr>
        <w:spacing w:line="300" w:lineRule="auto"/>
        <w:jc w:val="center"/>
        <w:rPr>
          <w:rFonts w:cs="Times New Roman"/>
          <w:color w:val="auto"/>
          <w:sz w:val="24"/>
          <w:szCs w:val="24"/>
        </w:rPr>
      </w:pPr>
      <w:r>
        <w:rPr>
          <w:rFonts w:hint="eastAsia" w:cs="Times New Roman"/>
          <w:color w:val="auto"/>
          <w:sz w:val="24"/>
          <w:szCs w:val="24"/>
        </w:rPr>
        <w:t>表6-2-3  装配式混凝土结构装修和设备管线装配率验收表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9"/>
        <w:gridCol w:w="776"/>
        <w:gridCol w:w="48"/>
        <w:gridCol w:w="1559"/>
        <w:gridCol w:w="50"/>
        <w:gridCol w:w="1377"/>
        <w:gridCol w:w="43"/>
        <w:gridCol w:w="1308"/>
        <w:gridCol w:w="11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Pr>
          <w:p>
            <w:pPr>
              <w:spacing w:line="300" w:lineRule="auto"/>
              <w:rPr>
                <w:rFonts w:cs="Times New Roman"/>
                <w:color w:val="auto"/>
                <w:sz w:val="15"/>
                <w:szCs w:val="15"/>
              </w:rPr>
            </w:pPr>
            <w:r>
              <w:rPr>
                <w:rFonts w:hint="eastAsia" w:cs="Times New Roman"/>
                <w:color w:val="auto"/>
                <w:sz w:val="15"/>
                <w:szCs w:val="15"/>
              </w:rPr>
              <w:t>工程名称</w:t>
            </w:r>
          </w:p>
        </w:tc>
        <w:tc>
          <w:tcPr>
            <w:tcW w:w="2383" w:type="dxa"/>
            <w:gridSpan w:val="3"/>
          </w:tcPr>
          <w:p>
            <w:pPr>
              <w:spacing w:line="300" w:lineRule="auto"/>
              <w:rPr>
                <w:rFonts w:cs="Times New Roman"/>
                <w:color w:val="auto"/>
                <w:sz w:val="15"/>
                <w:szCs w:val="15"/>
              </w:rPr>
            </w:pPr>
          </w:p>
        </w:tc>
        <w:tc>
          <w:tcPr>
            <w:tcW w:w="1427" w:type="dxa"/>
            <w:gridSpan w:val="2"/>
          </w:tcPr>
          <w:p>
            <w:pPr>
              <w:spacing w:line="300" w:lineRule="auto"/>
              <w:rPr>
                <w:rFonts w:cs="Times New Roman"/>
                <w:color w:val="auto"/>
                <w:sz w:val="15"/>
                <w:szCs w:val="15"/>
              </w:rPr>
            </w:pPr>
            <w:r>
              <w:rPr>
                <w:rFonts w:hint="eastAsia" w:cs="Times New Roman"/>
                <w:color w:val="auto"/>
                <w:sz w:val="15"/>
                <w:szCs w:val="15"/>
              </w:rPr>
              <w:t>施工进度</w:t>
            </w:r>
          </w:p>
        </w:tc>
        <w:tc>
          <w:tcPr>
            <w:tcW w:w="2885" w:type="dxa"/>
            <w:gridSpan w:val="4"/>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7" w:type="dxa"/>
            <w:gridSpan w:val="2"/>
          </w:tcPr>
          <w:p>
            <w:pPr>
              <w:spacing w:line="300" w:lineRule="auto"/>
              <w:rPr>
                <w:rFonts w:cs="Times New Roman"/>
                <w:color w:val="auto"/>
                <w:sz w:val="15"/>
                <w:szCs w:val="15"/>
              </w:rPr>
            </w:pPr>
            <w:r>
              <w:rPr>
                <w:rFonts w:hint="eastAsia" w:cs="Times New Roman"/>
                <w:color w:val="auto"/>
                <w:sz w:val="15"/>
                <w:szCs w:val="15"/>
              </w:rPr>
              <w:t>建筑面积</w:t>
            </w:r>
          </w:p>
        </w:tc>
        <w:tc>
          <w:tcPr>
            <w:tcW w:w="2383" w:type="dxa"/>
            <w:gridSpan w:val="3"/>
          </w:tcPr>
          <w:p>
            <w:pPr>
              <w:spacing w:line="300" w:lineRule="auto"/>
              <w:rPr>
                <w:rFonts w:cs="Times New Roman"/>
                <w:color w:val="auto"/>
                <w:sz w:val="15"/>
                <w:szCs w:val="15"/>
              </w:rPr>
            </w:pPr>
          </w:p>
        </w:tc>
        <w:tc>
          <w:tcPr>
            <w:tcW w:w="1427" w:type="dxa"/>
            <w:gridSpan w:val="2"/>
          </w:tcPr>
          <w:p>
            <w:pPr>
              <w:spacing w:line="300" w:lineRule="auto"/>
              <w:rPr>
                <w:rFonts w:cs="Times New Roman"/>
                <w:color w:val="auto"/>
                <w:sz w:val="15"/>
                <w:szCs w:val="15"/>
              </w:rPr>
            </w:pPr>
            <w:r>
              <w:rPr>
                <w:rFonts w:hint="eastAsia" w:cs="Times New Roman"/>
                <w:color w:val="auto"/>
                <w:sz w:val="15"/>
                <w:szCs w:val="15"/>
              </w:rPr>
              <w:t>结构层次</w:t>
            </w:r>
          </w:p>
        </w:tc>
        <w:tc>
          <w:tcPr>
            <w:tcW w:w="2885" w:type="dxa"/>
            <w:gridSpan w:val="4"/>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Pr>
          <w:p>
            <w:pPr>
              <w:spacing w:line="300" w:lineRule="auto"/>
              <w:rPr>
                <w:rFonts w:cs="Times New Roman"/>
                <w:color w:val="auto"/>
                <w:sz w:val="15"/>
                <w:szCs w:val="15"/>
              </w:rPr>
            </w:pPr>
            <w:r>
              <w:rPr>
                <w:rFonts w:hint="eastAsia" w:cs="Times New Roman"/>
                <w:color w:val="auto"/>
                <w:sz w:val="15"/>
                <w:szCs w:val="15"/>
              </w:rPr>
              <w:t>建设单位</w:t>
            </w:r>
          </w:p>
        </w:tc>
        <w:tc>
          <w:tcPr>
            <w:tcW w:w="2383" w:type="dxa"/>
            <w:gridSpan w:val="3"/>
          </w:tcPr>
          <w:p>
            <w:pPr>
              <w:spacing w:line="300" w:lineRule="auto"/>
              <w:rPr>
                <w:rFonts w:cs="Times New Roman"/>
                <w:color w:val="auto"/>
                <w:sz w:val="15"/>
                <w:szCs w:val="15"/>
              </w:rPr>
            </w:pPr>
          </w:p>
        </w:tc>
        <w:tc>
          <w:tcPr>
            <w:tcW w:w="1427" w:type="dxa"/>
            <w:gridSpan w:val="2"/>
          </w:tcPr>
          <w:p>
            <w:pPr>
              <w:spacing w:line="300" w:lineRule="auto"/>
              <w:rPr>
                <w:rFonts w:cs="Times New Roman"/>
                <w:color w:val="auto"/>
                <w:sz w:val="15"/>
                <w:szCs w:val="15"/>
              </w:rPr>
            </w:pPr>
            <w:r>
              <w:rPr>
                <w:rFonts w:hint="eastAsia" w:cs="Times New Roman"/>
                <w:color w:val="auto"/>
                <w:sz w:val="15"/>
                <w:szCs w:val="15"/>
              </w:rPr>
              <w:t>设计单位</w:t>
            </w:r>
          </w:p>
        </w:tc>
        <w:tc>
          <w:tcPr>
            <w:tcW w:w="2885" w:type="dxa"/>
            <w:gridSpan w:val="4"/>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Pr>
          <w:p>
            <w:pPr>
              <w:spacing w:line="300" w:lineRule="auto"/>
              <w:rPr>
                <w:rFonts w:cs="Times New Roman"/>
                <w:color w:val="auto"/>
                <w:sz w:val="15"/>
                <w:szCs w:val="15"/>
              </w:rPr>
            </w:pPr>
            <w:r>
              <w:rPr>
                <w:rFonts w:hint="eastAsia" w:cs="Times New Roman"/>
                <w:color w:val="auto"/>
                <w:sz w:val="15"/>
                <w:szCs w:val="15"/>
              </w:rPr>
              <w:t>施工单位</w:t>
            </w:r>
          </w:p>
        </w:tc>
        <w:tc>
          <w:tcPr>
            <w:tcW w:w="2383" w:type="dxa"/>
            <w:gridSpan w:val="3"/>
          </w:tcPr>
          <w:p>
            <w:pPr>
              <w:spacing w:line="300" w:lineRule="auto"/>
              <w:rPr>
                <w:rFonts w:cs="Times New Roman"/>
                <w:color w:val="auto"/>
                <w:sz w:val="15"/>
                <w:szCs w:val="15"/>
              </w:rPr>
            </w:pPr>
          </w:p>
        </w:tc>
        <w:tc>
          <w:tcPr>
            <w:tcW w:w="1427" w:type="dxa"/>
            <w:gridSpan w:val="2"/>
          </w:tcPr>
          <w:p>
            <w:pPr>
              <w:spacing w:line="300" w:lineRule="auto"/>
              <w:rPr>
                <w:rFonts w:cs="Times New Roman"/>
                <w:color w:val="auto"/>
                <w:sz w:val="15"/>
                <w:szCs w:val="15"/>
              </w:rPr>
            </w:pPr>
            <w:r>
              <w:rPr>
                <w:rFonts w:hint="eastAsia" w:cs="Times New Roman"/>
                <w:color w:val="auto"/>
                <w:sz w:val="15"/>
                <w:szCs w:val="15"/>
              </w:rPr>
              <w:t>监理单位</w:t>
            </w:r>
          </w:p>
        </w:tc>
        <w:tc>
          <w:tcPr>
            <w:tcW w:w="2885" w:type="dxa"/>
            <w:gridSpan w:val="4"/>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Pr>
          <w:p>
            <w:pPr>
              <w:spacing w:line="300" w:lineRule="auto"/>
              <w:rPr>
                <w:rFonts w:cs="Times New Roman"/>
                <w:color w:val="auto"/>
                <w:sz w:val="15"/>
                <w:szCs w:val="15"/>
              </w:rPr>
            </w:pPr>
            <w:r>
              <w:rPr>
                <w:rFonts w:hint="eastAsia" w:cs="Times New Roman"/>
                <w:color w:val="auto"/>
                <w:sz w:val="15"/>
                <w:szCs w:val="15"/>
              </w:rPr>
              <w:t>部品部件生产企业</w:t>
            </w:r>
          </w:p>
        </w:tc>
        <w:tc>
          <w:tcPr>
            <w:tcW w:w="6695" w:type="dxa"/>
            <w:gridSpan w:val="9"/>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Pr>
          <w:p>
            <w:pPr>
              <w:spacing w:line="300" w:lineRule="auto"/>
              <w:rPr>
                <w:rFonts w:cs="Times New Roman"/>
                <w:color w:val="auto"/>
                <w:sz w:val="15"/>
                <w:szCs w:val="15"/>
              </w:rPr>
            </w:pPr>
            <w:r>
              <w:rPr>
                <w:rFonts w:hint="eastAsia" w:cs="Times New Roman"/>
                <w:color w:val="auto"/>
                <w:sz w:val="15"/>
                <w:szCs w:val="15"/>
              </w:rPr>
              <w:t>单栋建筑编号</w:t>
            </w:r>
          </w:p>
        </w:tc>
        <w:tc>
          <w:tcPr>
            <w:tcW w:w="2383" w:type="dxa"/>
            <w:gridSpan w:val="3"/>
          </w:tcPr>
          <w:p>
            <w:pPr>
              <w:spacing w:line="300" w:lineRule="auto"/>
              <w:rPr>
                <w:rFonts w:cs="Times New Roman"/>
                <w:color w:val="auto"/>
                <w:sz w:val="15"/>
                <w:szCs w:val="15"/>
              </w:rPr>
            </w:pPr>
          </w:p>
        </w:tc>
        <w:tc>
          <w:tcPr>
            <w:tcW w:w="1427" w:type="dxa"/>
            <w:gridSpan w:val="2"/>
          </w:tcPr>
          <w:p>
            <w:pPr>
              <w:spacing w:line="300" w:lineRule="auto"/>
              <w:rPr>
                <w:rFonts w:cs="Times New Roman"/>
                <w:color w:val="auto"/>
                <w:sz w:val="15"/>
                <w:szCs w:val="15"/>
              </w:rPr>
            </w:pPr>
            <w:r>
              <w:rPr>
                <w:rFonts w:hint="eastAsia" w:cs="Times New Roman"/>
                <w:color w:val="auto"/>
                <w:sz w:val="15"/>
                <w:szCs w:val="15"/>
              </w:rPr>
              <w:t>单体设计装配率</w:t>
            </w:r>
          </w:p>
        </w:tc>
        <w:tc>
          <w:tcPr>
            <w:tcW w:w="2885" w:type="dxa"/>
            <w:gridSpan w:val="4"/>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603"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建筑类型</w:t>
            </w:r>
          </w:p>
        </w:tc>
        <w:tc>
          <w:tcPr>
            <w:tcW w:w="1657"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住宅建筑</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公共建筑</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毛坯交付的还建房和毛坯交付的商品住房</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668" w:type="dxa"/>
            <w:vMerge w:val="restart"/>
            <w:vAlign w:val="center"/>
          </w:tcPr>
          <w:p>
            <w:pPr>
              <w:spacing w:line="300" w:lineRule="auto"/>
              <w:jc w:val="center"/>
              <w:rPr>
                <w:rFonts w:cs="Times New Roman"/>
                <w:color w:val="auto"/>
                <w:sz w:val="15"/>
                <w:szCs w:val="15"/>
              </w:rPr>
            </w:pPr>
            <w:r>
              <w:rPr>
                <w:rFonts w:hint="eastAsia" w:cs="Times New Roman"/>
                <w:color w:val="auto"/>
                <w:sz w:val="15"/>
                <w:szCs w:val="15"/>
              </w:rPr>
              <w:t>全装修</w:t>
            </w:r>
          </w:p>
        </w:tc>
        <w:tc>
          <w:tcPr>
            <w:tcW w:w="93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设计要求</w:t>
            </w:r>
          </w:p>
        </w:tc>
        <w:tc>
          <w:tcPr>
            <w:tcW w:w="1657" w:type="dxa"/>
            <w:gridSpan w:val="3"/>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668" w:type="dxa"/>
            <w:vMerge w:val="continue"/>
            <w:vAlign w:val="center"/>
          </w:tcPr>
          <w:p>
            <w:pPr>
              <w:spacing w:line="300" w:lineRule="auto"/>
              <w:jc w:val="center"/>
              <w:rPr>
                <w:rFonts w:cs="Times New Roman"/>
                <w:color w:val="auto"/>
                <w:sz w:val="15"/>
                <w:szCs w:val="15"/>
              </w:rPr>
            </w:pPr>
          </w:p>
        </w:tc>
        <w:tc>
          <w:tcPr>
            <w:tcW w:w="93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实际情况</w:t>
            </w:r>
          </w:p>
        </w:tc>
        <w:tc>
          <w:tcPr>
            <w:tcW w:w="1657" w:type="dxa"/>
            <w:gridSpan w:val="3"/>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8522" w:type="dxa"/>
            <w:gridSpan w:val="11"/>
            <w:vAlign w:val="center"/>
          </w:tcPr>
          <w:p>
            <w:pPr>
              <w:spacing w:line="300" w:lineRule="auto"/>
              <w:jc w:val="center"/>
              <w:rPr>
                <w:rFonts w:cs="Times New Roman"/>
                <w:color w:val="auto"/>
                <w:sz w:val="15"/>
                <w:szCs w:val="15"/>
              </w:rPr>
            </w:pPr>
            <w:r>
              <w:rPr>
                <w:rFonts w:hint="eastAsia" w:cs="Times New Roman"/>
                <w:color w:val="auto"/>
                <w:sz w:val="15"/>
                <w:szCs w:val="15"/>
              </w:rPr>
              <w:t>住宅建筑、公共建筑或毛坯交付的还建房和毛坯交付的商品住房分别满足“全装修”要求者得6分，否则不得分，指标得分=6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603"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部品部件类型</w:t>
            </w:r>
          </w:p>
        </w:tc>
        <w:tc>
          <w:tcPr>
            <w:tcW w:w="1657"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各楼层采用干式工法楼面、地面的水平投影面积之和A</w:t>
            </w:r>
            <w:r>
              <w:rPr>
                <w:rFonts w:hint="eastAsia" w:cs="Times New Roman"/>
                <w:color w:val="auto"/>
                <w:sz w:val="15"/>
                <w:szCs w:val="15"/>
                <w:vertAlign w:val="subscript"/>
              </w:rPr>
              <w:t>3a</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20" w:type="dxa"/>
            <w:gridSpan w:val="2"/>
            <w:vAlign w:val="center"/>
          </w:tcPr>
          <w:p>
            <w:pPr>
              <w:spacing w:before="240" w:after="240" w:line="300" w:lineRule="auto"/>
              <w:jc w:val="center"/>
              <w:rPr>
                <w:rFonts w:ascii="黑体" w:eastAsia="黑体" w:cs="Times New Roman"/>
                <w:color w:val="auto"/>
                <w:sz w:val="15"/>
                <w:szCs w:val="15"/>
              </w:rPr>
            </w:pPr>
            <w:r>
              <w:rPr>
                <w:rFonts w:hint="eastAsia" w:cs="Times New Roman"/>
                <w:color w:val="auto"/>
                <w:sz w:val="15"/>
                <w:szCs w:val="15"/>
              </w:rPr>
              <w:t>各楼层扣除厨房、卫生间、阳台、室外连廊后的建筑水平受力构件水平投影面积之和A（m</w:t>
            </w:r>
            <w:r>
              <w:rPr>
                <w:rFonts w:hint="eastAsia" w:cs="Times New Roman"/>
                <w:color w:val="auto"/>
                <w:sz w:val="15"/>
                <w:szCs w:val="15"/>
                <w:vertAlign w:val="superscript"/>
              </w:rPr>
              <w:t>2</w:t>
            </w:r>
            <w:r>
              <w:rPr>
                <w:rFonts w:hint="eastAsia" w:cs="Times New Roman"/>
                <w:color w:val="auto"/>
                <w:sz w:val="15"/>
                <w:szCs w:val="15"/>
              </w:rPr>
              <w:t>）</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干式工法楼面、地面的应用比例Q</w:t>
            </w:r>
            <w:r>
              <w:rPr>
                <w:rFonts w:hint="eastAsia" w:cs="Times New Roman"/>
                <w:color w:val="auto"/>
                <w:sz w:val="15"/>
                <w:szCs w:val="15"/>
                <w:vertAlign w:val="subscript"/>
              </w:rPr>
              <w:t>3a</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restart"/>
            <w:vAlign w:val="center"/>
          </w:tcPr>
          <w:p>
            <w:pPr>
              <w:spacing w:line="300" w:lineRule="auto"/>
              <w:jc w:val="center"/>
              <w:rPr>
                <w:color w:val="auto"/>
              </w:rPr>
            </w:pPr>
            <w:r>
              <w:rPr>
                <w:rFonts w:hint="eastAsia" w:cs="Times New Roman"/>
                <w:color w:val="auto"/>
                <w:sz w:val="15"/>
                <w:szCs w:val="15"/>
              </w:rPr>
              <w:t>干式工法楼面、地面</w:t>
            </w:r>
          </w:p>
        </w:tc>
        <w:tc>
          <w:tcPr>
            <w:tcW w:w="776" w:type="dxa"/>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657" w:type="dxa"/>
            <w:gridSpan w:val="3"/>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continue"/>
            <w:vAlign w:val="center"/>
          </w:tcPr>
          <w:p>
            <w:pPr>
              <w:spacing w:line="300" w:lineRule="auto"/>
              <w:jc w:val="center"/>
              <w:rPr>
                <w:rFonts w:cs="Times New Roman"/>
                <w:color w:val="auto"/>
                <w:sz w:val="15"/>
                <w:szCs w:val="15"/>
              </w:rPr>
            </w:pPr>
          </w:p>
        </w:tc>
        <w:tc>
          <w:tcPr>
            <w:tcW w:w="776" w:type="dxa"/>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657" w:type="dxa"/>
            <w:gridSpan w:val="3"/>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11"/>
            <w:vAlign w:val="center"/>
          </w:tcPr>
          <w:p>
            <w:pPr>
              <w:spacing w:line="300" w:lineRule="auto"/>
              <w:jc w:val="center"/>
              <w:rPr>
                <w:rFonts w:cs="Times New Roman"/>
                <w:color w:val="auto"/>
                <w:sz w:val="15"/>
                <w:szCs w:val="15"/>
              </w:rPr>
            </w:pPr>
            <w:r>
              <w:rPr>
                <w:rFonts w:hint="eastAsia" w:cs="Times New Roman"/>
                <w:color w:val="auto"/>
                <w:sz w:val="15"/>
                <w:szCs w:val="15"/>
              </w:rPr>
              <w:t>Q</w:t>
            </w:r>
            <w:r>
              <w:rPr>
                <w:rFonts w:hint="eastAsia" w:cs="Times New Roman"/>
                <w:color w:val="auto"/>
                <w:sz w:val="15"/>
                <w:szCs w:val="15"/>
                <w:vertAlign w:val="subscript"/>
              </w:rPr>
              <w:t>3a</w:t>
            </w:r>
            <w:r>
              <w:rPr>
                <w:rFonts w:ascii="Arial" w:hAnsi="Arial" w:cs="Arial"/>
                <w:color w:val="auto"/>
                <w:sz w:val="15"/>
                <w:szCs w:val="15"/>
              </w:rPr>
              <w:t>≥</w:t>
            </w:r>
            <w:r>
              <w:rPr>
                <w:rFonts w:hint="eastAsia" w:cs="Times New Roman"/>
                <w:color w:val="auto"/>
                <w:sz w:val="15"/>
                <w:szCs w:val="15"/>
              </w:rPr>
              <w:t>70%，指标得分=5；</w:t>
            </w:r>
            <w:r>
              <w:rPr>
                <w:rFonts w:cs="Times New Roman"/>
                <w:color w:val="auto"/>
                <w:sz w:val="15"/>
                <w:szCs w:val="15"/>
              </w:rPr>
              <w:t>Q</w:t>
            </w:r>
            <w:r>
              <w:rPr>
                <w:rFonts w:cs="Times New Roman"/>
                <w:color w:val="auto"/>
                <w:sz w:val="15"/>
                <w:szCs w:val="15"/>
                <w:vertAlign w:val="subscript"/>
              </w:rPr>
              <w:t>3a</w:t>
            </w:r>
            <w:r>
              <w:rPr>
                <w:rFonts w:cs="Times New Roman"/>
                <w:color w:val="auto"/>
                <w:sz w:val="15"/>
                <w:szCs w:val="15"/>
              </w:rPr>
              <w:t>=A</w:t>
            </w:r>
            <w:r>
              <w:rPr>
                <w:rFonts w:cs="Times New Roman"/>
                <w:color w:val="auto"/>
                <w:sz w:val="15"/>
                <w:szCs w:val="15"/>
                <w:vertAlign w:val="subscript"/>
              </w:rPr>
              <w:t>3a</w:t>
            </w:r>
            <w:r>
              <w:rPr>
                <w:rFonts w:cs="Times New Roman"/>
                <w:color w:val="auto"/>
                <w:sz w:val="15"/>
                <w:szCs w:val="15"/>
              </w:rPr>
              <w:t>/A×100%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603"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部品部件类型</w:t>
            </w:r>
          </w:p>
        </w:tc>
        <w:tc>
          <w:tcPr>
            <w:tcW w:w="1657"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各楼层厨房墙面、顶面和地面采用干式工法面积之和A</w:t>
            </w:r>
            <w:r>
              <w:rPr>
                <w:rFonts w:hint="eastAsia" w:cs="Times New Roman"/>
                <w:color w:val="auto"/>
                <w:sz w:val="15"/>
                <w:szCs w:val="15"/>
                <w:vertAlign w:val="subscript"/>
              </w:rPr>
              <w:t>3b</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各楼层厨房的墙面、顶面和地面的总面积A</w:t>
            </w:r>
            <w:r>
              <w:rPr>
                <w:rFonts w:hint="eastAsia" w:cs="Times New Roman"/>
                <w:color w:val="auto"/>
                <w:sz w:val="15"/>
                <w:szCs w:val="15"/>
                <w:vertAlign w:val="subscript"/>
              </w:rPr>
              <w:t>k</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集成厨房干式工法的应用比例Q</w:t>
            </w:r>
            <w:r>
              <w:rPr>
                <w:rFonts w:hint="eastAsia" w:cs="Times New Roman"/>
                <w:color w:val="auto"/>
                <w:sz w:val="15"/>
                <w:szCs w:val="15"/>
                <w:vertAlign w:val="subscript"/>
              </w:rPr>
              <w:t>3b</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restart"/>
            <w:vAlign w:val="center"/>
          </w:tcPr>
          <w:p>
            <w:pPr>
              <w:spacing w:line="300" w:lineRule="auto"/>
              <w:jc w:val="center"/>
              <w:rPr>
                <w:rFonts w:cs="Times New Roman"/>
                <w:color w:val="auto"/>
                <w:sz w:val="15"/>
                <w:szCs w:val="15"/>
              </w:rPr>
            </w:pPr>
            <w:r>
              <w:rPr>
                <w:rFonts w:hint="eastAsia" w:cs="Times New Roman"/>
                <w:color w:val="auto"/>
                <w:sz w:val="15"/>
                <w:szCs w:val="15"/>
              </w:rPr>
              <w:t>集成厨房</w:t>
            </w:r>
          </w:p>
        </w:tc>
        <w:tc>
          <w:tcPr>
            <w:tcW w:w="776" w:type="dxa"/>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657" w:type="dxa"/>
            <w:gridSpan w:val="3"/>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continue"/>
            <w:vAlign w:val="center"/>
          </w:tcPr>
          <w:p>
            <w:pPr>
              <w:spacing w:line="300" w:lineRule="auto"/>
              <w:jc w:val="center"/>
              <w:rPr>
                <w:rFonts w:cs="Times New Roman"/>
                <w:color w:val="auto"/>
                <w:sz w:val="15"/>
                <w:szCs w:val="15"/>
              </w:rPr>
            </w:pPr>
          </w:p>
        </w:tc>
        <w:tc>
          <w:tcPr>
            <w:tcW w:w="776" w:type="dxa"/>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657" w:type="dxa"/>
            <w:gridSpan w:val="3"/>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11"/>
            <w:vAlign w:val="center"/>
          </w:tcPr>
          <w:p>
            <w:pPr>
              <w:spacing w:line="300" w:lineRule="auto"/>
              <w:jc w:val="center"/>
              <w:rPr>
                <w:rFonts w:cs="Times New Roman"/>
                <w:color w:val="auto"/>
                <w:sz w:val="15"/>
                <w:szCs w:val="15"/>
              </w:rPr>
            </w:pPr>
            <w:r>
              <w:rPr>
                <w:rFonts w:hint="eastAsia" w:cs="Times New Roman"/>
                <w:color w:val="auto"/>
                <w:sz w:val="15"/>
                <w:szCs w:val="15"/>
              </w:rPr>
              <w:t>70%</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3b</w:t>
            </w:r>
            <w:r>
              <w:rPr>
                <w:rFonts w:hint="eastAsia" w:cs="Times New Roman"/>
                <w:color w:val="auto"/>
                <w:sz w:val="15"/>
                <w:szCs w:val="15"/>
              </w:rPr>
              <w:t xml:space="preserve"> </w:t>
            </w:r>
            <w:r>
              <w:rPr>
                <w:rFonts w:ascii="Arial" w:hAnsi="Arial" w:cs="Arial"/>
                <w:color w:val="auto"/>
                <w:sz w:val="15"/>
                <w:szCs w:val="15"/>
              </w:rPr>
              <w:t>≤</w:t>
            </w:r>
            <w:r>
              <w:rPr>
                <w:rFonts w:hint="eastAsia" w:cs="Times New Roman"/>
                <w:color w:val="auto"/>
                <w:sz w:val="15"/>
                <w:szCs w:val="15"/>
              </w:rPr>
              <w:t>90%，指标得分=3~5*；</w:t>
            </w:r>
            <w:r>
              <w:rPr>
                <w:rFonts w:cs="Times New Roman"/>
                <w:color w:val="auto"/>
                <w:sz w:val="15"/>
                <w:szCs w:val="15"/>
              </w:rPr>
              <w:t>Q</w:t>
            </w:r>
            <w:r>
              <w:rPr>
                <w:rFonts w:cs="Times New Roman"/>
                <w:color w:val="auto"/>
                <w:sz w:val="15"/>
                <w:szCs w:val="15"/>
                <w:vertAlign w:val="subscript"/>
              </w:rPr>
              <w:t>3b</w:t>
            </w:r>
            <w:r>
              <w:rPr>
                <w:rFonts w:cs="Times New Roman"/>
                <w:color w:val="auto"/>
                <w:sz w:val="15"/>
                <w:szCs w:val="15"/>
              </w:rPr>
              <w:t>=A</w:t>
            </w:r>
            <w:r>
              <w:rPr>
                <w:rFonts w:cs="Times New Roman"/>
                <w:color w:val="auto"/>
                <w:sz w:val="15"/>
                <w:szCs w:val="15"/>
                <w:vertAlign w:val="subscript"/>
              </w:rPr>
              <w:t>3b</w:t>
            </w:r>
            <w:r>
              <w:rPr>
                <w:rFonts w:cs="Times New Roman"/>
                <w:color w:val="auto"/>
                <w:sz w:val="15"/>
                <w:szCs w:val="15"/>
              </w:rPr>
              <w:t>/A</w:t>
            </w:r>
            <w:r>
              <w:rPr>
                <w:rFonts w:cs="Times New Roman"/>
                <w:color w:val="auto"/>
                <w:sz w:val="15"/>
                <w:szCs w:val="15"/>
                <w:vertAlign w:val="subscript"/>
              </w:rPr>
              <w:t>k</w:t>
            </w:r>
            <w:r>
              <w:rPr>
                <w:rFonts w:cs="Times New Roman"/>
                <w:color w:val="auto"/>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603"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部品部件类型</w:t>
            </w:r>
          </w:p>
        </w:tc>
        <w:tc>
          <w:tcPr>
            <w:tcW w:w="1657"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集成卫生间干式工法的应用比例A</w:t>
            </w:r>
            <w:r>
              <w:rPr>
                <w:rFonts w:hint="eastAsia" w:cs="Times New Roman"/>
                <w:color w:val="auto"/>
                <w:sz w:val="15"/>
                <w:szCs w:val="15"/>
                <w:vertAlign w:val="subscript"/>
              </w:rPr>
              <w:t>3c</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各楼层卫生间的墙面、顶面和地面的总面积A</w:t>
            </w:r>
            <w:r>
              <w:rPr>
                <w:rFonts w:hint="eastAsia" w:cs="Times New Roman"/>
                <w:color w:val="auto"/>
                <w:sz w:val="15"/>
                <w:szCs w:val="15"/>
                <w:vertAlign w:val="subscript"/>
              </w:rPr>
              <w:t>b</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集成卫生间干式工法的应用比例Q</w:t>
            </w:r>
            <w:r>
              <w:rPr>
                <w:rFonts w:hint="eastAsia" w:cs="Times New Roman"/>
                <w:color w:val="auto"/>
                <w:sz w:val="15"/>
                <w:szCs w:val="15"/>
                <w:vertAlign w:val="subscript"/>
              </w:rPr>
              <w:t>3c</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restart"/>
            <w:vAlign w:val="center"/>
          </w:tcPr>
          <w:p>
            <w:pPr>
              <w:spacing w:line="300" w:lineRule="auto"/>
              <w:jc w:val="center"/>
              <w:rPr>
                <w:rFonts w:cs="Times New Roman"/>
                <w:color w:val="auto"/>
                <w:sz w:val="15"/>
                <w:szCs w:val="15"/>
              </w:rPr>
            </w:pPr>
            <w:r>
              <w:rPr>
                <w:rFonts w:hint="eastAsia" w:cs="Times New Roman"/>
                <w:color w:val="auto"/>
                <w:sz w:val="15"/>
                <w:szCs w:val="15"/>
              </w:rPr>
              <w:t>集成卫生间</w:t>
            </w:r>
          </w:p>
        </w:tc>
        <w:tc>
          <w:tcPr>
            <w:tcW w:w="776" w:type="dxa"/>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657" w:type="dxa"/>
            <w:gridSpan w:val="3"/>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continue"/>
            <w:vAlign w:val="center"/>
          </w:tcPr>
          <w:p>
            <w:pPr>
              <w:spacing w:line="300" w:lineRule="auto"/>
              <w:jc w:val="center"/>
              <w:rPr>
                <w:rFonts w:cs="Times New Roman"/>
                <w:color w:val="auto"/>
                <w:sz w:val="15"/>
                <w:szCs w:val="15"/>
              </w:rPr>
            </w:pPr>
          </w:p>
        </w:tc>
        <w:tc>
          <w:tcPr>
            <w:tcW w:w="776" w:type="dxa"/>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657" w:type="dxa"/>
            <w:gridSpan w:val="3"/>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11"/>
            <w:vAlign w:val="center"/>
          </w:tcPr>
          <w:p>
            <w:pPr>
              <w:spacing w:line="300" w:lineRule="auto"/>
              <w:jc w:val="center"/>
              <w:rPr>
                <w:rFonts w:cs="Times New Roman"/>
                <w:color w:val="auto"/>
                <w:sz w:val="15"/>
                <w:szCs w:val="15"/>
              </w:rPr>
            </w:pPr>
            <w:r>
              <w:rPr>
                <w:rFonts w:hint="eastAsia" w:cs="Times New Roman"/>
                <w:color w:val="auto"/>
                <w:sz w:val="15"/>
                <w:szCs w:val="15"/>
              </w:rPr>
              <w:t>70%</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3c</w:t>
            </w:r>
            <w:r>
              <w:rPr>
                <w:rFonts w:hint="eastAsia" w:cs="Times New Roman"/>
                <w:color w:val="auto"/>
                <w:sz w:val="15"/>
                <w:szCs w:val="15"/>
              </w:rPr>
              <w:t xml:space="preserve"> </w:t>
            </w:r>
            <w:r>
              <w:rPr>
                <w:rFonts w:ascii="Arial" w:hAnsi="Arial" w:cs="Arial"/>
                <w:color w:val="auto"/>
                <w:sz w:val="15"/>
                <w:szCs w:val="15"/>
              </w:rPr>
              <w:t>≤</w:t>
            </w:r>
            <w:r>
              <w:rPr>
                <w:rFonts w:hint="eastAsia" w:cs="Times New Roman"/>
                <w:color w:val="auto"/>
                <w:sz w:val="15"/>
                <w:szCs w:val="15"/>
              </w:rPr>
              <w:t>90%，指标得分=3~5*；</w:t>
            </w:r>
            <w:r>
              <w:rPr>
                <w:rFonts w:cs="Times New Roman"/>
                <w:color w:val="auto"/>
                <w:sz w:val="15"/>
                <w:szCs w:val="15"/>
              </w:rPr>
              <w:t>Q3c=A3c/A</w:t>
            </w:r>
            <w:r>
              <w:rPr>
                <w:rFonts w:cs="Times New Roman"/>
                <w:color w:val="auto"/>
                <w:sz w:val="15"/>
                <w:szCs w:val="15"/>
                <w:vertAlign w:val="subscript"/>
              </w:rPr>
              <w:t>b</w:t>
            </w:r>
            <w:r>
              <w:rPr>
                <w:rFonts w:cs="Times New Roman"/>
                <w:color w:val="auto"/>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603"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部品部件类型</w:t>
            </w:r>
          </w:p>
        </w:tc>
        <w:tc>
          <w:tcPr>
            <w:tcW w:w="1657" w:type="dxa"/>
            <w:gridSpan w:val="3"/>
            <w:vAlign w:val="center"/>
          </w:tcPr>
          <w:p>
            <w:pPr>
              <w:spacing w:line="300" w:lineRule="auto"/>
              <w:jc w:val="center"/>
              <w:rPr>
                <w:rFonts w:cs="Times New Roman"/>
                <w:color w:val="auto"/>
                <w:sz w:val="15"/>
                <w:szCs w:val="15"/>
              </w:rPr>
            </w:pPr>
            <w:r>
              <w:rPr>
                <w:rFonts w:hint="eastAsia" w:cs="Times New Roman"/>
                <w:color w:val="auto"/>
                <w:sz w:val="15"/>
                <w:szCs w:val="15"/>
              </w:rPr>
              <w:t>各楼层管线分离的长度L</w:t>
            </w:r>
            <w:r>
              <w:rPr>
                <w:rFonts w:hint="eastAsia" w:cs="Times New Roman"/>
                <w:color w:val="auto"/>
                <w:sz w:val="15"/>
                <w:szCs w:val="15"/>
                <w:vertAlign w:val="subscript"/>
              </w:rPr>
              <w:t>3d</w:t>
            </w:r>
            <w:r>
              <w:rPr>
                <w:rFonts w:hint="eastAsia" w:cs="Times New Roman"/>
                <w:color w:val="auto"/>
                <w:sz w:val="15"/>
                <w:szCs w:val="15"/>
              </w:rPr>
              <w:t>（m）</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各楼层电气、给水排水和采暖管线的总长度L</w:t>
            </w:r>
            <w:r>
              <w:rPr>
                <w:rFonts w:hint="eastAsia" w:cs="Times New Roman"/>
                <w:color w:val="auto"/>
                <w:sz w:val="15"/>
                <w:szCs w:val="15"/>
                <w:vertAlign w:val="subscript"/>
              </w:rPr>
              <w:t>g</w:t>
            </w:r>
            <w:r>
              <w:rPr>
                <w:rFonts w:hint="eastAsia" w:cs="Times New Roman"/>
                <w:color w:val="auto"/>
                <w:sz w:val="15"/>
                <w:szCs w:val="15"/>
              </w:rPr>
              <w:t>（m）</w:t>
            </w:r>
          </w:p>
        </w:tc>
        <w:tc>
          <w:tcPr>
            <w:tcW w:w="1420"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管线分离比例Q</w:t>
            </w:r>
            <w:r>
              <w:rPr>
                <w:rFonts w:hint="eastAsia" w:cs="Times New Roman"/>
                <w:color w:val="auto"/>
                <w:sz w:val="15"/>
                <w:szCs w:val="15"/>
                <w:vertAlign w:val="subscript"/>
              </w:rPr>
              <w:t>3d</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restart"/>
            <w:vAlign w:val="center"/>
          </w:tcPr>
          <w:p>
            <w:pPr>
              <w:spacing w:line="300" w:lineRule="auto"/>
              <w:jc w:val="center"/>
              <w:rPr>
                <w:rFonts w:cs="Times New Roman"/>
                <w:color w:val="auto"/>
                <w:sz w:val="15"/>
                <w:szCs w:val="15"/>
              </w:rPr>
            </w:pPr>
            <w:r>
              <w:rPr>
                <w:rFonts w:hint="eastAsia" w:cs="Times New Roman"/>
                <w:color w:val="auto"/>
                <w:sz w:val="15"/>
                <w:szCs w:val="15"/>
              </w:rPr>
              <w:t>管线分离</w:t>
            </w:r>
          </w:p>
        </w:tc>
        <w:tc>
          <w:tcPr>
            <w:tcW w:w="776" w:type="dxa"/>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657" w:type="dxa"/>
            <w:gridSpan w:val="3"/>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827" w:type="dxa"/>
            <w:gridSpan w:val="2"/>
            <w:vMerge w:val="continue"/>
            <w:vAlign w:val="center"/>
          </w:tcPr>
          <w:p>
            <w:pPr>
              <w:spacing w:line="300" w:lineRule="auto"/>
              <w:jc w:val="center"/>
              <w:rPr>
                <w:rFonts w:cs="Times New Roman"/>
                <w:color w:val="auto"/>
                <w:sz w:val="15"/>
                <w:szCs w:val="15"/>
              </w:rPr>
            </w:pPr>
          </w:p>
        </w:tc>
        <w:tc>
          <w:tcPr>
            <w:tcW w:w="776" w:type="dxa"/>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657" w:type="dxa"/>
            <w:gridSpan w:val="3"/>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0"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11"/>
            <w:vAlign w:val="center"/>
          </w:tcPr>
          <w:p>
            <w:pPr>
              <w:spacing w:line="300" w:lineRule="auto"/>
              <w:jc w:val="center"/>
              <w:rPr>
                <w:rFonts w:cs="Times New Roman"/>
                <w:color w:val="auto"/>
                <w:sz w:val="15"/>
                <w:szCs w:val="15"/>
              </w:rPr>
            </w:pPr>
            <w:r>
              <w:rPr>
                <w:rFonts w:hint="eastAsia" w:cs="Times New Roman"/>
                <w:color w:val="auto"/>
                <w:sz w:val="15"/>
                <w:szCs w:val="15"/>
              </w:rPr>
              <w:t>50%</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3d</w:t>
            </w:r>
            <w:r>
              <w:rPr>
                <w:rFonts w:hint="eastAsia" w:cs="Times New Roman"/>
                <w:color w:val="auto"/>
                <w:sz w:val="15"/>
                <w:szCs w:val="15"/>
              </w:rPr>
              <w:t xml:space="preserve"> </w:t>
            </w:r>
            <w:r>
              <w:rPr>
                <w:rFonts w:ascii="Arial" w:hAnsi="Arial" w:cs="Arial"/>
                <w:color w:val="auto"/>
                <w:sz w:val="15"/>
                <w:szCs w:val="15"/>
              </w:rPr>
              <w:t>≤</w:t>
            </w:r>
            <w:r>
              <w:rPr>
                <w:rFonts w:hint="eastAsia" w:cs="Times New Roman"/>
                <w:color w:val="auto"/>
                <w:sz w:val="15"/>
                <w:szCs w:val="15"/>
              </w:rPr>
              <w:t>70%，指标得分=4~5*；</w:t>
            </w:r>
            <w:r>
              <w:rPr>
                <w:rFonts w:cs="Times New Roman"/>
                <w:color w:val="auto"/>
                <w:sz w:val="15"/>
                <w:szCs w:val="15"/>
              </w:rPr>
              <w:t>Q</w:t>
            </w:r>
            <w:r>
              <w:rPr>
                <w:rFonts w:cs="Times New Roman"/>
                <w:color w:val="auto"/>
                <w:sz w:val="15"/>
                <w:szCs w:val="15"/>
                <w:vertAlign w:val="subscript"/>
              </w:rPr>
              <w:t>3d</w:t>
            </w:r>
            <w:r>
              <w:rPr>
                <w:rFonts w:cs="Times New Roman"/>
                <w:color w:val="auto"/>
                <w:sz w:val="15"/>
                <w:szCs w:val="15"/>
              </w:rPr>
              <w:t>=L</w:t>
            </w:r>
            <w:r>
              <w:rPr>
                <w:rFonts w:cs="Times New Roman"/>
                <w:color w:val="auto"/>
                <w:sz w:val="15"/>
                <w:szCs w:val="15"/>
                <w:vertAlign w:val="subscript"/>
              </w:rPr>
              <w:t>3d</w:t>
            </w:r>
            <w:r>
              <w:rPr>
                <w:rFonts w:cs="Times New Roman"/>
                <w:color w:val="auto"/>
                <w:sz w:val="15"/>
                <w:szCs w:val="15"/>
              </w:rPr>
              <w:t>/L</w:t>
            </w:r>
            <w:r>
              <w:rPr>
                <w:rFonts w:cs="Times New Roman"/>
                <w:color w:val="auto"/>
                <w:sz w:val="15"/>
                <w:szCs w:val="15"/>
                <w:vertAlign w:val="subscript"/>
              </w:rPr>
              <w:t>g</w:t>
            </w:r>
            <w:r>
              <w:rPr>
                <w:rFonts w:cs="Times New Roman"/>
                <w:color w:val="auto"/>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4"/>
          </w:tcPr>
          <w:p>
            <w:pPr>
              <w:spacing w:line="300" w:lineRule="auto"/>
              <w:jc w:val="center"/>
              <w:rPr>
                <w:rFonts w:cs="Times New Roman"/>
                <w:color w:val="auto"/>
                <w:sz w:val="15"/>
                <w:szCs w:val="15"/>
              </w:rPr>
            </w:pPr>
            <w:r>
              <w:rPr>
                <w:rFonts w:hint="eastAsia" w:cs="Times New Roman"/>
                <w:color w:val="auto"/>
                <w:sz w:val="15"/>
                <w:szCs w:val="15"/>
              </w:rPr>
              <w:t>装修和设备管线指标设计得分值Q</w:t>
            </w:r>
            <w:r>
              <w:rPr>
                <w:rFonts w:hint="eastAsia" w:cs="Times New Roman"/>
                <w:color w:val="auto"/>
                <w:sz w:val="15"/>
                <w:szCs w:val="15"/>
                <w:vertAlign w:val="subscript"/>
              </w:rPr>
              <w:t>3D</w:t>
            </w:r>
          </w:p>
        </w:tc>
        <w:tc>
          <w:tcPr>
            <w:tcW w:w="1609" w:type="dxa"/>
            <w:gridSpan w:val="2"/>
          </w:tcPr>
          <w:p>
            <w:pPr>
              <w:spacing w:line="300" w:lineRule="auto"/>
              <w:jc w:val="center"/>
              <w:rPr>
                <w:rFonts w:cs="Times New Roman"/>
                <w:color w:val="auto"/>
                <w:sz w:val="15"/>
                <w:szCs w:val="15"/>
              </w:rPr>
            </w:pPr>
          </w:p>
        </w:tc>
        <w:tc>
          <w:tcPr>
            <w:tcW w:w="2728" w:type="dxa"/>
            <w:gridSpan w:val="3"/>
          </w:tcPr>
          <w:p>
            <w:pPr>
              <w:spacing w:line="300" w:lineRule="auto"/>
              <w:jc w:val="center"/>
              <w:rPr>
                <w:rFonts w:cs="Times New Roman"/>
                <w:color w:val="auto"/>
                <w:sz w:val="15"/>
                <w:szCs w:val="15"/>
              </w:rPr>
            </w:pPr>
            <w:r>
              <w:rPr>
                <w:rFonts w:hint="eastAsia" w:cs="Times New Roman"/>
                <w:color w:val="auto"/>
                <w:sz w:val="15"/>
                <w:szCs w:val="15"/>
              </w:rPr>
              <w:t>装修和设备管线指标实际得分值Q</w:t>
            </w:r>
            <w:r>
              <w:rPr>
                <w:rFonts w:hint="eastAsia" w:cs="Times New Roman"/>
                <w:color w:val="auto"/>
                <w:sz w:val="15"/>
                <w:szCs w:val="15"/>
                <w:vertAlign w:val="subscript"/>
              </w:rPr>
              <w:t>3A</w:t>
            </w:r>
          </w:p>
        </w:tc>
        <w:tc>
          <w:tcPr>
            <w:tcW w:w="1534" w:type="dxa"/>
            <w:gridSpan w:val="2"/>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6"/>
          </w:tcPr>
          <w:p>
            <w:pPr>
              <w:spacing w:line="300" w:lineRule="auto"/>
              <w:ind w:firstLine="150" w:firstLineChars="100"/>
              <w:jc w:val="center"/>
              <w:rPr>
                <w:rFonts w:cs="Times New Roman"/>
                <w:color w:val="auto"/>
                <w:sz w:val="15"/>
                <w:szCs w:val="15"/>
              </w:rPr>
            </w:pPr>
            <w:r>
              <w:rPr>
                <w:rFonts w:cs="Times New Roman"/>
                <w:color w:val="auto"/>
                <w:sz w:val="15"/>
                <w:szCs w:val="15"/>
              </w:rPr>
              <w:t>验收结论</w:t>
            </w:r>
          </w:p>
        </w:tc>
        <w:tc>
          <w:tcPr>
            <w:tcW w:w="4262" w:type="dxa"/>
            <w:gridSpan w:val="5"/>
          </w:tcPr>
          <w:p>
            <w:pPr>
              <w:spacing w:line="300" w:lineRule="auto"/>
              <w:jc w:val="center"/>
              <w:rPr>
                <w:rFonts w:cs="Times New Roman"/>
                <w:color w:val="auto"/>
                <w:sz w:val="15"/>
                <w:szCs w:val="15"/>
              </w:rPr>
            </w:pPr>
            <w:r>
              <w:rPr>
                <w:rFonts w:cs="Times New Roman"/>
                <w:color w:val="auto"/>
                <w:sz w:val="15"/>
                <w:szCs w:val="15"/>
              </w:rPr>
              <w:t>□</w:t>
            </w:r>
            <w:r>
              <w:rPr>
                <w:rFonts w:hint="eastAsia" w:cs="Times New Roman"/>
                <w:color w:val="auto"/>
                <w:sz w:val="15"/>
                <w:szCs w:val="15"/>
              </w:rPr>
              <w:t xml:space="preserve"> 合格           </w:t>
            </w:r>
            <w:r>
              <w:rPr>
                <w:rFonts w:cs="Times New Roman"/>
                <w:color w:val="auto"/>
                <w:sz w:val="15"/>
                <w:szCs w:val="15"/>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pPr>
              <w:spacing w:line="300" w:lineRule="auto"/>
              <w:rPr>
                <w:rFonts w:cs="Times New Roman"/>
                <w:color w:val="auto"/>
                <w:sz w:val="15"/>
                <w:szCs w:val="15"/>
              </w:rPr>
            </w:pPr>
            <w:r>
              <w:rPr>
                <w:rFonts w:hint="eastAsia" w:cs="Times New Roman"/>
                <w:color w:val="auto"/>
                <w:sz w:val="15"/>
                <w:szCs w:val="15"/>
              </w:rPr>
              <w:t>建设单位（签字盖章）：                                  施工单位：（签字盖章）</w:t>
            </w:r>
          </w:p>
          <w:p>
            <w:pPr>
              <w:spacing w:before="312" w:after="312" w:line="300" w:lineRule="auto"/>
              <w:ind w:firstLine="1125" w:firstLineChars="750"/>
              <w:rPr>
                <w:rFonts w:ascii="宋体" w:eastAsia="黑体" w:cs="Times New Roman"/>
                <w:color w:val="auto"/>
                <w:sz w:val="15"/>
                <w:szCs w:val="15"/>
              </w:rPr>
            </w:pPr>
            <w:r>
              <w:rPr>
                <w:rFonts w:hint="eastAsia" w:cs="Times New Roman"/>
                <w:color w:val="auto"/>
                <w:sz w:val="15"/>
                <w:szCs w:val="15"/>
              </w:rPr>
              <w:t>年    月    日                                              年    月    日</w:t>
            </w:r>
          </w:p>
          <w:p>
            <w:pPr>
              <w:spacing w:line="300" w:lineRule="auto"/>
              <w:rPr>
                <w:rFonts w:cs="Times New Roman"/>
                <w:color w:val="auto"/>
                <w:sz w:val="15"/>
                <w:szCs w:val="15"/>
              </w:rPr>
            </w:pPr>
            <w:r>
              <w:rPr>
                <w:rFonts w:hint="eastAsia" w:cs="Times New Roman"/>
                <w:color w:val="auto"/>
                <w:sz w:val="15"/>
                <w:szCs w:val="15"/>
              </w:rPr>
              <w:t>监理单位（签字盖章）：                                  设计单位：（签字盖章）</w:t>
            </w:r>
          </w:p>
          <w:p>
            <w:pPr>
              <w:spacing w:before="312" w:after="312" w:line="300" w:lineRule="auto"/>
              <w:ind w:firstLine="1125" w:firstLineChars="750"/>
              <w:rPr>
                <w:rFonts w:ascii="宋体" w:eastAsia="黑体" w:cs="Times New Roman"/>
                <w:color w:val="auto"/>
                <w:sz w:val="15"/>
                <w:szCs w:val="15"/>
              </w:rPr>
            </w:pPr>
            <w:r>
              <w:rPr>
                <w:rFonts w:hint="eastAsia" w:cs="Times New Roman"/>
                <w:color w:val="auto"/>
                <w:sz w:val="15"/>
                <w:szCs w:val="15"/>
              </w:rPr>
              <w:t>年    月    日                                              年    月    日</w:t>
            </w:r>
          </w:p>
        </w:tc>
      </w:tr>
    </w:tbl>
    <w:p>
      <w:pPr>
        <w:spacing w:line="300" w:lineRule="auto"/>
        <w:ind w:firstLine="400" w:firstLineChars="200"/>
        <w:rPr>
          <w:rFonts w:cs="Times New Roman"/>
          <w:color w:val="auto"/>
          <w:sz w:val="24"/>
          <w:szCs w:val="24"/>
        </w:rPr>
      </w:pPr>
      <w:r>
        <w:rPr>
          <w:rFonts w:ascii="仿宋" w:hAnsi="仿宋" w:eastAsia="仿宋" w:cs="仿宋"/>
          <w:color w:val="auto"/>
          <w:kern w:val="0"/>
          <w:sz w:val="20"/>
          <w:szCs w:val="20"/>
        </w:rPr>
        <w:t>注：表中带“*”项的分值采用“内插法”计算，计算结果取小数点后 1 位。</w:t>
      </w:r>
    </w:p>
    <w:p>
      <w:pPr>
        <w:spacing w:line="300" w:lineRule="auto"/>
        <w:rPr>
          <w:rFonts w:cs="Times New Roman"/>
          <w:color w:val="auto"/>
          <w:sz w:val="24"/>
          <w:szCs w:val="24"/>
        </w:rPr>
      </w:pPr>
      <w:r>
        <w:rPr>
          <w:rFonts w:hint="eastAsia" w:cs="Times New Roman"/>
          <w:color w:val="auto"/>
          <w:sz w:val="24"/>
          <w:szCs w:val="24"/>
        </w:rPr>
        <w:t>6.2.4 设计标准化与创新项装配率验收</w:t>
      </w:r>
    </w:p>
    <w:p>
      <w:pPr>
        <w:spacing w:line="300" w:lineRule="auto"/>
        <w:ind w:firstLine="480" w:firstLineChars="200"/>
        <w:jc w:val="left"/>
        <w:rPr>
          <w:rFonts w:cs="Times New Roman"/>
          <w:color w:val="auto"/>
          <w:sz w:val="24"/>
          <w:szCs w:val="24"/>
        </w:rPr>
      </w:pPr>
      <w:r>
        <w:rPr>
          <w:rFonts w:hint="eastAsia" w:cs="Times New Roman"/>
          <w:color w:val="auto"/>
          <w:sz w:val="24"/>
          <w:szCs w:val="24"/>
        </w:rPr>
        <w:t>设计标准化与创新项装配率验收参照表6-2-4进行。</w:t>
      </w:r>
    </w:p>
    <w:p>
      <w:pPr>
        <w:spacing w:line="300" w:lineRule="auto"/>
        <w:jc w:val="center"/>
        <w:rPr>
          <w:rFonts w:cs="Times New Roman"/>
          <w:color w:val="auto"/>
          <w:sz w:val="24"/>
          <w:szCs w:val="24"/>
        </w:rPr>
      </w:pPr>
      <w:r>
        <w:rPr>
          <w:rFonts w:hint="eastAsia" w:cs="Times New Roman"/>
          <w:color w:val="auto"/>
          <w:sz w:val="24"/>
          <w:szCs w:val="24"/>
        </w:rPr>
        <w:t>表6-2-4  装配式混凝土结构设计标准化与创新项装配率验收表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838"/>
        <w:gridCol w:w="1725"/>
        <w:gridCol w:w="50"/>
        <w:gridCol w:w="1377"/>
        <w:gridCol w:w="1035"/>
        <w:gridCol w:w="42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300" w:lineRule="auto"/>
              <w:rPr>
                <w:rFonts w:cs="Times New Roman"/>
                <w:color w:val="auto"/>
                <w:sz w:val="15"/>
                <w:szCs w:val="15"/>
              </w:rPr>
            </w:pPr>
            <w:r>
              <w:rPr>
                <w:rFonts w:hint="eastAsia" w:cs="Times New Roman"/>
                <w:color w:val="auto"/>
                <w:sz w:val="15"/>
                <w:szCs w:val="15"/>
              </w:rPr>
              <w:t>工程名称</w:t>
            </w:r>
          </w:p>
        </w:tc>
        <w:tc>
          <w:tcPr>
            <w:tcW w:w="2563" w:type="dxa"/>
            <w:gridSpan w:val="2"/>
          </w:tcPr>
          <w:p>
            <w:pPr>
              <w:spacing w:line="300" w:lineRule="auto"/>
              <w:rPr>
                <w:rFonts w:cs="Times New Roman"/>
                <w:color w:val="auto"/>
                <w:sz w:val="15"/>
                <w:szCs w:val="15"/>
              </w:rPr>
            </w:pPr>
          </w:p>
        </w:tc>
        <w:tc>
          <w:tcPr>
            <w:tcW w:w="1427" w:type="dxa"/>
            <w:gridSpan w:val="2"/>
          </w:tcPr>
          <w:p>
            <w:pPr>
              <w:spacing w:line="300" w:lineRule="auto"/>
              <w:rPr>
                <w:rFonts w:cs="Times New Roman"/>
                <w:color w:val="auto"/>
                <w:sz w:val="15"/>
                <w:szCs w:val="15"/>
              </w:rPr>
            </w:pPr>
            <w:r>
              <w:rPr>
                <w:rFonts w:hint="eastAsia" w:cs="Times New Roman"/>
                <w:color w:val="auto"/>
                <w:sz w:val="15"/>
                <w:szCs w:val="15"/>
              </w:rPr>
              <w:t>施工进度</w:t>
            </w:r>
          </w:p>
        </w:tc>
        <w:tc>
          <w:tcPr>
            <w:tcW w:w="2885"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7" w:type="dxa"/>
          </w:tcPr>
          <w:p>
            <w:pPr>
              <w:spacing w:line="300" w:lineRule="auto"/>
              <w:rPr>
                <w:rFonts w:cs="Times New Roman"/>
                <w:color w:val="auto"/>
                <w:sz w:val="15"/>
                <w:szCs w:val="15"/>
              </w:rPr>
            </w:pPr>
            <w:r>
              <w:rPr>
                <w:rFonts w:hint="eastAsia" w:cs="Times New Roman"/>
                <w:color w:val="auto"/>
                <w:sz w:val="15"/>
                <w:szCs w:val="15"/>
              </w:rPr>
              <w:t>建筑面积</w:t>
            </w:r>
          </w:p>
        </w:tc>
        <w:tc>
          <w:tcPr>
            <w:tcW w:w="2563" w:type="dxa"/>
            <w:gridSpan w:val="2"/>
          </w:tcPr>
          <w:p>
            <w:pPr>
              <w:spacing w:line="300" w:lineRule="auto"/>
              <w:rPr>
                <w:rFonts w:cs="Times New Roman"/>
                <w:color w:val="auto"/>
                <w:sz w:val="15"/>
                <w:szCs w:val="15"/>
              </w:rPr>
            </w:pPr>
          </w:p>
        </w:tc>
        <w:tc>
          <w:tcPr>
            <w:tcW w:w="1427" w:type="dxa"/>
            <w:gridSpan w:val="2"/>
          </w:tcPr>
          <w:p>
            <w:pPr>
              <w:spacing w:line="300" w:lineRule="auto"/>
              <w:rPr>
                <w:rFonts w:cs="Times New Roman"/>
                <w:color w:val="auto"/>
                <w:sz w:val="15"/>
                <w:szCs w:val="15"/>
              </w:rPr>
            </w:pPr>
            <w:r>
              <w:rPr>
                <w:rFonts w:hint="eastAsia" w:cs="Times New Roman"/>
                <w:color w:val="auto"/>
                <w:sz w:val="15"/>
                <w:szCs w:val="15"/>
              </w:rPr>
              <w:t>结构层次</w:t>
            </w:r>
          </w:p>
        </w:tc>
        <w:tc>
          <w:tcPr>
            <w:tcW w:w="2885"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300" w:lineRule="auto"/>
              <w:rPr>
                <w:rFonts w:cs="Times New Roman"/>
                <w:color w:val="auto"/>
                <w:sz w:val="15"/>
                <w:szCs w:val="15"/>
              </w:rPr>
            </w:pPr>
            <w:r>
              <w:rPr>
                <w:rFonts w:hint="eastAsia" w:cs="Times New Roman"/>
                <w:color w:val="auto"/>
                <w:sz w:val="15"/>
                <w:szCs w:val="15"/>
              </w:rPr>
              <w:t>建设单位</w:t>
            </w:r>
          </w:p>
        </w:tc>
        <w:tc>
          <w:tcPr>
            <w:tcW w:w="2563" w:type="dxa"/>
            <w:gridSpan w:val="2"/>
          </w:tcPr>
          <w:p>
            <w:pPr>
              <w:spacing w:line="300" w:lineRule="auto"/>
              <w:rPr>
                <w:rFonts w:cs="Times New Roman"/>
                <w:color w:val="auto"/>
                <w:sz w:val="15"/>
                <w:szCs w:val="15"/>
              </w:rPr>
            </w:pPr>
          </w:p>
        </w:tc>
        <w:tc>
          <w:tcPr>
            <w:tcW w:w="1427" w:type="dxa"/>
            <w:gridSpan w:val="2"/>
          </w:tcPr>
          <w:p>
            <w:pPr>
              <w:spacing w:line="300" w:lineRule="auto"/>
              <w:rPr>
                <w:rFonts w:cs="Times New Roman"/>
                <w:color w:val="auto"/>
                <w:sz w:val="15"/>
                <w:szCs w:val="15"/>
              </w:rPr>
            </w:pPr>
            <w:r>
              <w:rPr>
                <w:rFonts w:hint="eastAsia" w:cs="Times New Roman"/>
                <w:color w:val="auto"/>
                <w:sz w:val="15"/>
                <w:szCs w:val="15"/>
              </w:rPr>
              <w:t>设计单位</w:t>
            </w:r>
          </w:p>
        </w:tc>
        <w:tc>
          <w:tcPr>
            <w:tcW w:w="2885"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300" w:lineRule="auto"/>
              <w:rPr>
                <w:rFonts w:cs="Times New Roman"/>
                <w:color w:val="auto"/>
                <w:sz w:val="15"/>
                <w:szCs w:val="15"/>
              </w:rPr>
            </w:pPr>
            <w:r>
              <w:rPr>
                <w:rFonts w:hint="eastAsia" w:cs="Times New Roman"/>
                <w:color w:val="auto"/>
                <w:sz w:val="15"/>
                <w:szCs w:val="15"/>
              </w:rPr>
              <w:t>施工单位</w:t>
            </w:r>
          </w:p>
        </w:tc>
        <w:tc>
          <w:tcPr>
            <w:tcW w:w="2563" w:type="dxa"/>
            <w:gridSpan w:val="2"/>
          </w:tcPr>
          <w:p>
            <w:pPr>
              <w:spacing w:line="300" w:lineRule="auto"/>
              <w:rPr>
                <w:rFonts w:cs="Times New Roman"/>
                <w:color w:val="auto"/>
                <w:sz w:val="15"/>
                <w:szCs w:val="15"/>
              </w:rPr>
            </w:pPr>
          </w:p>
        </w:tc>
        <w:tc>
          <w:tcPr>
            <w:tcW w:w="1427" w:type="dxa"/>
            <w:gridSpan w:val="2"/>
          </w:tcPr>
          <w:p>
            <w:pPr>
              <w:spacing w:line="300" w:lineRule="auto"/>
              <w:rPr>
                <w:rFonts w:cs="Times New Roman"/>
                <w:color w:val="auto"/>
                <w:sz w:val="15"/>
                <w:szCs w:val="15"/>
              </w:rPr>
            </w:pPr>
            <w:r>
              <w:rPr>
                <w:rFonts w:hint="eastAsia" w:cs="Times New Roman"/>
                <w:color w:val="auto"/>
                <w:sz w:val="15"/>
                <w:szCs w:val="15"/>
              </w:rPr>
              <w:t>监理单位</w:t>
            </w:r>
          </w:p>
        </w:tc>
        <w:tc>
          <w:tcPr>
            <w:tcW w:w="2885"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300" w:lineRule="auto"/>
              <w:rPr>
                <w:rFonts w:cs="Times New Roman"/>
                <w:color w:val="auto"/>
                <w:sz w:val="15"/>
                <w:szCs w:val="15"/>
              </w:rPr>
            </w:pPr>
            <w:r>
              <w:rPr>
                <w:rFonts w:hint="eastAsia" w:cs="Times New Roman"/>
                <w:color w:val="auto"/>
                <w:sz w:val="15"/>
                <w:szCs w:val="15"/>
              </w:rPr>
              <w:t>部品部件生产企业</w:t>
            </w:r>
          </w:p>
        </w:tc>
        <w:tc>
          <w:tcPr>
            <w:tcW w:w="6875" w:type="dxa"/>
            <w:gridSpan w:val="7"/>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spacing w:line="300" w:lineRule="auto"/>
              <w:rPr>
                <w:rFonts w:cs="Times New Roman"/>
                <w:color w:val="auto"/>
                <w:sz w:val="15"/>
                <w:szCs w:val="15"/>
              </w:rPr>
            </w:pPr>
            <w:r>
              <w:rPr>
                <w:rFonts w:hint="eastAsia" w:cs="Times New Roman"/>
                <w:color w:val="auto"/>
                <w:sz w:val="15"/>
                <w:szCs w:val="15"/>
              </w:rPr>
              <w:t>单栋建筑编号</w:t>
            </w:r>
          </w:p>
        </w:tc>
        <w:tc>
          <w:tcPr>
            <w:tcW w:w="2563" w:type="dxa"/>
            <w:gridSpan w:val="2"/>
          </w:tcPr>
          <w:p>
            <w:pPr>
              <w:spacing w:line="300" w:lineRule="auto"/>
              <w:rPr>
                <w:rFonts w:cs="Times New Roman"/>
                <w:color w:val="auto"/>
                <w:sz w:val="15"/>
                <w:szCs w:val="15"/>
              </w:rPr>
            </w:pPr>
          </w:p>
        </w:tc>
        <w:tc>
          <w:tcPr>
            <w:tcW w:w="1427" w:type="dxa"/>
            <w:gridSpan w:val="2"/>
          </w:tcPr>
          <w:p>
            <w:pPr>
              <w:spacing w:line="300" w:lineRule="auto"/>
              <w:rPr>
                <w:rFonts w:cs="Times New Roman"/>
                <w:color w:val="auto"/>
                <w:sz w:val="15"/>
                <w:szCs w:val="15"/>
              </w:rPr>
            </w:pPr>
            <w:r>
              <w:rPr>
                <w:rFonts w:hint="eastAsia" w:cs="Times New Roman"/>
                <w:color w:val="auto"/>
                <w:sz w:val="15"/>
                <w:szCs w:val="15"/>
              </w:rPr>
              <w:t>单体设计装配率</w:t>
            </w:r>
          </w:p>
        </w:tc>
        <w:tc>
          <w:tcPr>
            <w:tcW w:w="2885"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48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部品部件类型</w:t>
            </w:r>
          </w:p>
        </w:tc>
        <w:tc>
          <w:tcPr>
            <w:tcW w:w="177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标准化预制部件总数量M</w:t>
            </w:r>
            <w:r>
              <w:rPr>
                <w:rFonts w:hint="eastAsia" w:cs="Times New Roman"/>
                <w:color w:val="auto"/>
                <w:sz w:val="15"/>
                <w:szCs w:val="15"/>
                <w:vertAlign w:val="subscript"/>
              </w:rPr>
              <w:t>4a</w:t>
            </w:r>
          </w:p>
        </w:tc>
        <w:tc>
          <w:tcPr>
            <w:tcW w:w="1377" w:type="dxa"/>
            <w:vAlign w:val="center"/>
          </w:tcPr>
          <w:p>
            <w:pPr>
              <w:spacing w:line="300" w:lineRule="auto"/>
              <w:jc w:val="center"/>
              <w:rPr>
                <w:rFonts w:cs="Times New Roman"/>
                <w:color w:val="auto"/>
                <w:sz w:val="15"/>
                <w:szCs w:val="15"/>
              </w:rPr>
            </w:pPr>
            <w:r>
              <w:rPr>
                <w:rFonts w:hint="eastAsia" w:cs="Times New Roman"/>
                <w:color w:val="auto"/>
                <w:sz w:val="15"/>
                <w:szCs w:val="15"/>
              </w:rPr>
              <w:t>预制构件总数量M</w:t>
            </w:r>
          </w:p>
        </w:tc>
        <w:tc>
          <w:tcPr>
            <w:tcW w:w="1463"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标准化预制部件应用比例Q</w:t>
            </w:r>
            <w:r>
              <w:rPr>
                <w:rFonts w:hint="eastAsia" w:cs="Times New Roman"/>
                <w:color w:val="auto"/>
                <w:sz w:val="15"/>
                <w:szCs w:val="15"/>
                <w:vertAlign w:val="subscript"/>
              </w:rPr>
              <w:t>4a</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647" w:type="dxa"/>
            <w:vMerge w:val="restart"/>
            <w:vAlign w:val="center"/>
          </w:tcPr>
          <w:p>
            <w:pPr>
              <w:spacing w:line="300" w:lineRule="auto"/>
              <w:jc w:val="center"/>
              <w:rPr>
                <w:rFonts w:cs="Times New Roman"/>
                <w:color w:val="auto"/>
                <w:sz w:val="15"/>
                <w:szCs w:val="15"/>
              </w:rPr>
            </w:pPr>
            <w:r>
              <w:rPr>
                <w:rFonts w:hint="eastAsia" w:cs="Times New Roman"/>
                <w:color w:val="auto"/>
                <w:sz w:val="15"/>
                <w:szCs w:val="15"/>
              </w:rPr>
              <w:t>标准化预制部件</w:t>
            </w:r>
          </w:p>
        </w:tc>
        <w:tc>
          <w:tcPr>
            <w:tcW w:w="838" w:type="dxa"/>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775" w:type="dxa"/>
            <w:gridSpan w:val="2"/>
            <w:vAlign w:val="center"/>
          </w:tcPr>
          <w:p>
            <w:pPr>
              <w:spacing w:line="300" w:lineRule="auto"/>
              <w:jc w:val="center"/>
              <w:rPr>
                <w:rFonts w:cs="Times New Roman"/>
                <w:color w:val="auto"/>
                <w:sz w:val="15"/>
                <w:szCs w:val="15"/>
              </w:rPr>
            </w:pPr>
          </w:p>
        </w:tc>
        <w:tc>
          <w:tcPr>
            <w:tcW w:w="1377" w:type="dxa"/>
            <w:vAlign w:val="center"/>
          </w:tcPr>
          <w:p>
            <w:pPr>
              <w:spacing w:line="300" w:lineRule="auto"/>
              <w:jc w:val="center"/>
              <w:rPr>
                <w:rFonts w:cs="Times New Roman"/>
                <w:color w:val="auto"/>
                <w:sz w:val="15"/>
                <w:szCs w:val="15"/>
              </w:rPr>
            </w:pPr>
          </w:p>
        </w:tc>
        <w:tc>
          <w:tcPr>
            <w:tcW w:w="1463"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647" w:type="dxa"/>
            <w:vMerge w:val="continue"/>
            <w:vAlign w:val="center"/>
          </w:tcPr>
          <w:p>
            <w:pPr>
              <w:spacing w:line="300" w:lineRule="auto"/>
              <w:jc w:val="center"/>
              <w:rPr>
                <w:rFonts w:cs="Times New Roman"/>
                <w:color w:val="auto"/>
                <w:sz w:val="15"/>
                <w:szCs w:val="15"/>
              </w:rPr>
            </w:pPr>
          </w:p>
        </w:tc>
        <w:tc>
          <w:tcPr>
            <w:tcW w:w="838" w:type="dxa"/>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775" w:type="dxa"/>
            <w:gridSpan w:val="2"/>
            <w:vAlign w:val="center"/>
          </w:tcPr>
          <w:p>
            <w:pPr>
              <w:spacing w:line="300" w:lineRule="auto"/>
              <w:jc w:val="center"/>
              <w:rPr>
                <w:rFonts w:cs="Times New Roman"/>
                <w:color w:val="auto"/>
                <w:sz w:val="15"/>
                <w:szCs w:val="15"/>
              </w:rPr>
            </w:pPr>
          </w:p>
        </w:tc>
        <w:tc>
          <w:tcPr>
            <w:tcW w:w="1377" w:type="dxa"/>
            <w:vAlign w:val="center"/>
          </w:tcPr>
          <w:p>
            <w:pPr>
              <w:spacing w:line="300" w:lineRule="auto"/>
              <w:jc w:val="center"/>
              <w:rPr>
                <w:rFonts w:cs="Times New Roman"/>
                <w:color w:val="auto"/>
                <w:sz w:val="15"/>
                <w:szCs w:val="15"/>
              </w:rPr>
            </w:pPr>
          </w:p>
        </w:tc>
        <w:tc>
          <w:tcPr>
            <w:tcW w:w="1463"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8522" w:type="dxa"/>
            <w:gridSpan w:val="8"/>
            <w:vAlign w:val="center"/>
          </w:tcPr>
          <w:p>
            <w:pPr>
              <w:spacing w:line="300" w:lineRule="auto"/>
              <w:jc w:val="center"/>
              <w:rPr>
                <w:rFonts w:cs="Times New Roman"/>
                <w:color w:val="auto"/>
                <w:sz w:val="15"/>
                <w:szCs w:val="15"/>
              </w:rPr>
            </w:pPr>
            <w:r>
              <w:rPr>
                <w:rFonts w:hint="eastAsia" w:cs="Times New Roman"/>
                <w:color w:val="auto"/>
                <w:sz w:val="15"/>
                <w:szCs w:val="15"/>
              </w:rPr>
              <w:t>50%</w:t>
            </w:r>
            <w:r>
              <w:rPr>
                <w:rFonts w:ascii="Arial" w:hAnsi="Arial" w:cs="Arial"/>
                <w:color w:val="auto"/>
                <w:sz w:val="15"/>
                <w:szCs w:val="15"/>
              </w:rPr>
              <w:t>≤</w:t>
            </w:r>
            <w:r>
              <w:rPr>
                <w:rFonts w:hint="eastAsia" w:cs="Times New Roman"/>
                <w:color w:val="auto"/>
                <w:sz w:val="15"/>
                <w:szCs w:val="15"/>
              </w:rPr>
              <w:t>Q</w:t>
            </w:r>
            <w:r>
              <w:rPr>
                <w:rFonts w:hint="eastAsia" w:cs="Times New Roman"/>
                <w:color w:val="auto"/>
                <w:sz w:val="15"/>
                <w:szCs w:val="15"/>
                <w:vertAlign w:val="subscript"/>
              </w:rPr>
              <w:t>4a</w:t>
            </w:r>
            <w:r>
              <w:rPr>
                <w:rFonts w:hint="eastAsia" w:cs="Times New Roman"/>
                <w:color w:val="auto"/>
                <w:sz w:val="15"/>
                <w:szCs w:val="15"/>
              </w:rPr>
              <w:t xml:space="preserve"> </w:t>
            </w:r>
            <w:r>
              <w:rPr>
                <w:rFonts w:ascii="Arial" w:hAnsi="Arial" w:cs="Arial"/>
                <w:color w:val="auto"/>
                <w:sz w:val="15"/>
                <w:szCs w:val="15"/>
              </w:rPr>
              <w:t>≤</w:t>
            </w:r>
            <w:r>
              <w:rPr>
                <w:rFonts w:hint="eastAsia" w:cs="Times New Roman"/>
                <w:color w:val="auto"/>
                <w:sz w:val="15"/>
                <w:szCs w:val="15"/>
              </w:rPr>
              <w:t>70%，指标得分=1~3*；</w:t>
            </w:r>
            <w:r>
              <w:rPr>
                <w:rFonts w:cs="Times New Roman"/>
                <w:color w:val="auto"/>
                <w:sz w:val="15"/>
                <w:szCs w:val="15"/>
              </w:rPr>
              <w:t>Q</w:t>
            </w:r>
            <w:r>
              <w:rPr>
                <w:rFonts w:cs="Times New Roman"/>
                <w:color w:val="auto"/>
                <w:sz w:val="15"/>
                <w:szCs w:val="15"/>
                <w:vertAlign w:val="subscript"/>
              </w:rPr>
              <w:t>4a</w:t>
            </w:r>
            <w:r>
              <w:rPr>
                <w:rFonts w:cs="Times New Roman"/>
                <w:color w:val="auto"/>
                <w:sz w:val="15"/>
                <w:szCs w:val="15"/>
              </w:rPr>
              <w:t>= M</w:t>
            </w:r>
            <w:r>
              <w:rPr>
                <w:rFonts w:cs="Times New Roman"/>
                <w:color w:val="auto"/>
                <w:sz w:val="15"/>
                <w:szCs w:val="15"/>
                <w:vertAlign w:val="subscript"/>
              </w:rPr>
              <w:t>4a</w:t>
            </w:r>
            <w:r>
              <w:rPr>
                <w:rFonts w:cs="Times New Roman"/>
                <w:color w:val="auto"/>
                <w:sz w:val="15"/>
                <w:szCs w:val="15"/>
              </w:rPr>
              <w:t>/M×100%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48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部品部件类型</w:t>
            </w:r>
          </w:p>
        </w:tc>
        <w:tc>
          <w:tcPr>
            <w:tcW w:w="177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重复使用量最多的三种基本单元（含其镜像单元）的总面积N</w:t>
            </w:r>
            <w:r>
              <w:rPr>
                <w:rFonts w:hint="eastAsia" w:cs="Times New Roman"/>
                <w:color w:val="auto"/>
                <w:sz w:val="15"/>
                <w:szCs w:val="15"/>
                <w:vertAlign w:val="subscript"/>
              </w:rPr>
              <w:t>4b</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377" w:type="dxa"/>
            <w:vAlign w:val="center"/>
          </w:tcPr>
          <w:p>
            <w:pPr>
              <w:spacing w:line="300" w:lineRule="auto"/>
              <w:jc w:val="center"/>
              <w:rPr>
                <w:rFonts w:cs="Times New Roman"/>
                <w:color w:val="auto"/>
                <w:sz w:val="15"/>
                <w:szCs w:val="15"/>
              </w:rPr>
            </w:pPr>
            <w:r>
              <w:rPr>
                <w:rFonts w:hint="eastAsia" w:cs="Times New Roman"/>
                <w:color w:val="auto"/>
                <w:sz w:val="15"/>
                <w:szCs w:val="15"/>
              </w:rPr>
              <w:t>所有评价单元总建筑面积N（m</w:t>
            </w:r>
            <w:r>
              <w:rPr>
                <w:rFonts w:hint="eastAsia" w:cs="Times New Roman"/>
                <w:color w:val="auto"/>
                <w:sz w:val="15"/>
                <w:szCs w:val="15"/>
                <w:vertAlign w:val="superscript"/>
              </w:rPr>
              <w:t>2</w:t>
            </w:r>
            <w:r>
              <w:rPr>
                <w:rFonts w:hint="eastAsia" w:cs="Times New Roman"/>
                <w:color w:val="auto"/>
                <w:sz w:val="15"/>
                <w:szCs w:val="15"/>
              </w:rPr>
              <w:t>)</w:t>
            </w:r>
          </w:p>
        </w:tc>
        <w:tc>
          <w:tcPr>
            <w:tcW w:w="1463"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平面布置标准化应用比例Q</w:t>
            </w:r>
            <w:r>
              <w:rPr>
                <w:rFonts w:hint="eastAsia" w:cs="Times New Roman"/>
                <w:color w:val="auto"/>
                <w:sz w:val="15"/>
                <w:szCs w:val="15"/>
                <w:vertAlign w:val="subscript"/>
              </w:rPr>
              <w:t>4b</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647" w:type="dxa"/>
            <w:vMerge w:val="restart"/>
            <w:vAlign w:val="center"/>
          </w:tcPr>
          <w:p>
            <w:pPr>
              <w:spacing w:line="300" w:lineRule="auto"/>
              <w:jc w:val="center"/>
              <w:rPr>
                <w:color w:val="auto"/>
              </w:rPr>
            </w:pPr>
            <w:r>
              <w:rPr>
                <w:rFonts w:hint="eastAsia" w:cs="Times New Roman"/>
                <w:color w:val="auto"/>
                <w:sz w:val="15"/>
                <w:szCs w:val="15"/>
              </w:rPr>
              <w:t>平面布置标准化</w:t>
            </w:r>
          </w:p>
        </w:tc>
        <w:tc>
          <w:tcPr>
            <w:tcW w:w="838" w:type="dxa"/>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775" w:type="dxa"/>
            <w:gridSpan w:val="2"/>
            <w:vAlign w:val="center"/>
          </w:tcPr>
          <w:p>
            <w:pPr>
              <w:spacing w:line="300" w:lineRule="auto"/>
              <w:jc w:val="center"/>
              <w:rPr>
                <w:rFonts w:cs="Times New Roman"/>
                <w:color w:val="auto"/>
                <w:sz w:val="15"/>
                <w:szCs w:val="15"/>
              </w:rPr>
            </w:pPr>
          </w:p>
        </w:tc>
        <w:tc>
          <w:tcPr>
            <w:tcW w:w="1377" w:type="dxa"/>
            <w:vAlign w:val="center"/>
          </w:tcPr>
          <w:p>
            <w:pPr>
              <w:spacing w:line="300" w:lineRule="auto"/>
              <w:jc w:val="center"/>
              <w:rPr>
                <w:rFonts w:cs="Times New Roman"/>
                <w:color w:val="auto"/>
                <w:sz w:val="15"/>
                <w:szCs w:val="15"/>
              </w:rPr>
            </w:pPr>
          </w:p>
        </w:tc>
        <w:tc>
          <w:tcPr>
            <w:tcW w:w="1463"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647" w:type="dxa"/>
            <w:vMerge w:val="continue"/>
            <w:vAlign w:val="center"/>
          </w:tcPr>
          <w:p>
            <w:pPr>
              <w:spacing w:line="300" w:lineRule="auto"/>
              <w:jc w:val="center"/>
              <w:rPr>
                <w:rFonts w:cs="Times New Roman"/>
                <w:color w:val="auto"/>
                <w:sz w:val="15"/>
                <w:szCs w:val="15"/>
              </w:rPr>
            </w:pPr>
          </w:p>
        </w:tc>
        <w:tc>
          <w:tcPr>
            <w:tcW w:w="838" w:type="dxa"/>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775" w:type="dxa"/>
            <w:gridSpan w:val="2"/>
            <w:vAlign w:val="center"/>
          </w:tcPr>
          <w:p>
            <w:pPr>
              <w:spacing w:line="300" w:lineRule="auto"/>
              <w:jc w:val="center"/>
              <w:rPr>
                <w:rFonts w:cs="Times New Roman"/>
                <w:color w:val="auto"/>
                <w:sz w:val="15"/>
                <w:szCs w:val="15"/>
              </w:rPr>
            </w:pPr>
          </w:p>
        </w:tc>
        <w:tc>
          <w:tcPr>
            <w:tcW w:w="1377" w:type="dxa"/>
            <w:vAlign w:val="center"/>
          </w:tcPr>
          <w:p>
            <w:pPr>
              <w:spacing w:line="300" w:lineRule="auto"/>
              <w:jc w:val="center"/>
              <w:rPr>
                <w:rFonts w:cs="Times New Roman"/>
                <w:color w:val="auto"/>
                <w:sz w:val="15"/>
                <w:szCs w:val="15"/>
              </w:rPr>
            </w:pPr>
          </w:p>
        </w:tc>
        <w:tc>
          <w:tcPr>
            <w:tcW w:w="1463"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8"/>
            <w:vAlign w:val="center"/>
          </w:tcPr>
          <w:p>
            <w:pPr>
              <w:spacing w:line="300" w:lineRule="auto"/>
              <w:jc w:val="center"/>
              <w:rPr>
                <w:rFonts w:cs="Times New Roman"/>
                <w:color w:val="auto"/>
                <w:sz w:val="15"/>
                <w:szCs w:val="15"/>
              </w:rPr>
            </w:pPr>
            <w:r>
              <w:rPr>
                <w:rFonts w:hint="eastAsia" w:cs="Times New Roman"/>
                <w:color w:val="auto"/>
                <w:sz w:val="15"/>
                <w:szCs w:val="15"/>
              </w:rPr>
              <w:t>Q</w:t>
            </w:r>
            <w:r>
              <w:rPr>
                <w:rFonts w:hint="eastAsia" w:cs="Times New Roman"/>
                <w:color w:val="auto"/>
                <w:sz w:val="15"/>
                <w:szCs w:val="15"/>
                <w:vertAlign w:val="subscript"/>
              </w:rPr>
              <w:t>4b</w:t>
            </w:r>
            <w:r>
              <w:rPr>
                <w:rFonts w:ascii="Arial" w:hAnsi="Arial" w:cs="Arial"/>
                <w:color w:val="auto"/>
                <w:sz w:val="15"/>
                <w:szCs w:val="15"/>
              </w:rPr>
              <w:t>≥</w:t>
            </w:r>
            <w:r>
              <w:rPr>
                <w:rFonts w:hint="eastAsia" w:cs="Times New Roman"/>
                <w:color w:val="auto"/>
                <w:sz w:val="15"/>
                <w:szCs w:val="15"/>
              </w:rPr>
              <w:t>50%，指标得分=1；</w:t>
            </w:r>
            <w:r>
              <w:rPr>
                <w:rFonts w:cs="Times New Roman"/>
                <w:color w:val="auto"/>
                <w:sz w:val="15"/>
                <w:szCs w:val="15"/>
              </w:rPr>
              <w:t>Q</w:t>
            </w:r>
            <w:r>
              <w:rPr>
                <w:rFonts w:cs="Times New Roman"/>
                <w:color w:val="auto"/>
                <w:sz w:val="15"/>
                <w:szCs w:val="15"/>
                <w:vertAlign w:val="subscript"/>
              </w:rPr>
              <w:t>4b</w:t>
            </w:r>
            <w:r>
              <w:rPr>
                <w:rFonts w:cs="Times New Roman"/>
                <w:color w:val="auto"/>
                <w:sz w:val="15"/>
                <w:szCs w:val="15"/>
              </w:rPr>
              <w:t>= N</w:t>
            </w:r>
            <w:r>
              <w:rPr>
                <w:rFonts w:cs="Times New Roman"/>
                <w:color w:val="auto"/>
                <w:sz w:val="15"/>
                <w:szCs w:val="15"/>
                <w:vertAlign w:val="subscript"/>
              </w:rPr>
              <w:t>4b</w:t>
            </w:r>
            <w:r>
              <w:rPr>
                <w:rFonts w:cs="Times New Roman"/>
                <w:color w:val="auto"/>
                <w:sz w:val="15"/>
                <w:szCs w:val="15"/>
              </w:rPr>
              <w:t>/N×100%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48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部品部件类型</w:t>
            </w:r>
          </w:p>
        </w:tc>
        <w:tc>
          <w:tcPr>
            <w:tcW w:w="177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各层标准柱网按轴线计算的面积之和A</w:t>
            </w:r>
            <w:r>
              <w:rPr>
                <w:rFonts w:hint="eastAsia" w:cs="Times New Roman"/>
                <w:color w:val="auto"/>
                <w:sz w:val="15"/>
                <w:szCs w:val="15"/>
                <w:vertAlign w:val="subscript"/>
              </w:rPr>
              <w:t>4c</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377" w:type="dxa"/>
            <w:vAlign w:val="center"/>
          </w:tcPr>
          <w:p>
            <w:pPr>
              <w:spacing w:line="300" w:lineRule="auto"/>
              <w:jc w:val="center"/>
              <w:rPr>
                <w:rFonts w:cs="Times New Roman"/>
                <w:color w:val="auto"/>
                <w:sz w:val="15"/>
                <w:szCs w:val="15"/>
              </w:rPr>
            </w:pPr>
            <w:r>
              <w:rPr>
                <w:rFonts w:hint="eastAsia" w:cs="Times New Roman"/>
                <w:color w:val="auto"/>
                <w:sz w:val="15"/>
                <w:szCs w:val="15"/>
              </w:rPr>
              <w:t>各层建筑面积之和A</w:t>
            </w:r>
            <w:r>
              <w:rPr>
                <w:rFonts w:hint="eastAsia" w:cs="Times New Roman"/>
                <w:color w:val="auto"/>
                <w:sz w:val="15"/>
                <w:szCs w:val="15"/>
                <w:vertAlign w:val="subscript"/>
              </w:rPr>
              <w:t>t</w:t>
            </w:r>
            <w:r>
              <w:rPr>
                <w:rFonts w:hint="eastAsia" w:cs="Times New Roman"/>
                <w:color w:val="auto"/>
                <w:sz w:val="15"/>
                <w:szCs w:val="15"/>
              </w:rPr>
              <w:t>（m</w:t>
            </w:r>
            <w:r>
              <w:rPr>
                <w:rFonts w:hint="eastAsia" w:cs="Times New Roman"/>
                <w:color w:val="auto"/>
                <w:sz w:val="15"/>
                <w:szCs w:val="15"/>
                <w:vertAlign w:val="superscript"/>
              </w:rPr>
              <w:t>2</w:t>
            </w:r>
            <w:r>
              <w:rPr>
                <w:rFonts w:hint="eastAsia" w:cs="Times New Roman"/>
                <w:color w:val="auto"/>
                <w:sz w:val="15"/>
                <w:szCs w:val="15"/>
              </w:rPr>
              <w:t>）</w:t>
            </w:r>
          </w:p>
        </w:tc>
        <w:tc>
          <w:tcPr>
            <w:tcW w:w="1463"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标准化柱网应用比例Q</w:t>
            </w:r>
            <w:r>
              <w:rPr>
                <w:rFonts w:hint="eastAsia" w:cs="Times New Roman"/>
                <w:color w:val="auto"/>
                <w:sz w:val="15"/>
                <w:szCs w:val="15"/>
                <w:vertAlign w:val="subscript"/>
              </w:rPr>
              <w:t>4c</w:t>
            </w:r>
            <w:r>
              <w:rPr>
                <w:rFonts w:hint="eastAsia" w:cs="Times New Roman"/>
                <w:color w:val="auto"/>
                <w:sz w:val="15"/>
                <w:szCs w:val="15"/>
              </w:rPr>
              <w:t>（%）</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647" w:type="dxa"/>
            <w:vMerge w:val="restart"/>
            <w:vAlign w:val="center"/>
          </w:tcPr>
          <w:p>
            <w:pPr>
              <w:spacing w:line="300" w:lineRule="auto"/>
              <w:jc w:val="center"/>
              <w:rPr>
                <w:rFonts w:cs="Times New Roman"/>
                <w:color w:val="auto"/>
                <w:sz w:val="15"/>
                <w:szCs w:val="15"/>
              </w:rPr>
            </w:pPr>
            <w:r>
              <w:rPr>
                <w:rFonts w:hint="eastAsia" w:cs="Times New Roman"/>
                <w:color w:val="auto"/>
                <w:sz w:val="15"/>
                <w:szCs w:val="15"/>
              </w:rPr>
              <w:t>柱网标准化</w:t>
            </w:r>
          </w:p>
        </w:tc>
        <w:tc>
          <w:tcPr>
            <w:tcW w:w="838" w:type="dxa"/>
            <w:vAlign w:val="center"/>
          </w:tcPr>
          <w:p>
            <w:pPr>
              <w:spacing w:line="300" w:lineRule="auto"/>
              <w:jc w:val="center"/>
              <w:rPr>
                <w:rFonts w:cs="Times New Roman"/>
                <w:color w:val="auto"/>
                <w:sz w:val="15"/>
                <w:szCs w:val="15"/>
              </w:rPr>
            </w:pPr>
            <w:r>
              <w:rPr>
                <w:rFonts w:hint="eastAsia" w:cs="Times New Roman"/>
                <w:color w:val="auto"/>
                <w:sz w:val="15"/>
                <w:szCs w:val="15"/>
              </w:rPr>
              <w:t>设计值</w:t>
            </w:r>
          </w:p>
        </w:tc>
        <w:tc>
          <w:tcPr>
            <w:tcW w:w="1775" w:type="dxa"/>
            <w:gridSpan w:val="2"/>
            <w:vAlign w:val="center"/>
          </w:tcPr>
          <w:p>
            <w:pPr>
              <w:spacing w:line="300" w:lineRule="auto"/>
              <w:jc w:val="center"/>
              <w:rPr>
                <w:rFonts w:cs="Times New Roman"/>
                <w:color w:val="auto"/>
                <w:sz w:val="15"/>
                <w:szCs w:val="15"/>
              </w:rPr>
            </w:pPr>
          </w:p>
        </w:tc>
        <w:tc>
          <w:tcPr>
            <w:tcW w:w="1377" w:type="dxa"/>
            <w:vAlign w:val="center"/>
          </w:tcPr>
          <w:p>
            <w:pPr>
              <w:spacing w:line="300" w:lineRule="auto"/>
              <w:jc w:val="center"/>
              <w:rPr>
                <w:rFonts w:cs="Times New Roman"/>
                <w:color w:val="auto"/>
                <w:sz w:val="15"/>
                <w:szCs w:val="15"/>
              </w:rPr>
            </w:pPr>
          </w:p>
        </w:tc>
        <w:tc>
          <w:tcPr>
            <w:tcW w:w="1463"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647" w:type="dxa"/>
            <w:vMerge w:val="continue"/>
            <w:vAlign w:val="center"/>
          </w:tcPr>
          <w:p>
            <w:pPr>
              <w:spacing w:line="300" w:lineRule="auto"/>
              <w:jc w:val="center"/>
              <w:rPr>
                <w:rFonts w:cs="Times New Roman"/>
                <w:color w:val="auto"/>
                <w:sz w:val="15"/>
                <w:szCs w:val="15"/>
              </w:rPr>
            </w:pPr>
          </w:p>
        </w:tc>
        <w:tc>
          <w:tcPr>
            <w:tcW w:w="838" w:type="dxa"/>
            <w:vAlign w:val="center"/>
          </w:tcPr>
          <w:p>
            <w:pPr>
              <w:spacing w:line="300" w:lineRule="auto"/>
              <w:jc w:val="center"/>
              <w:rPr>
                <w:rFonts w:cs="Times New Roman"/>
                <w:color w:val="auto"/>
                <w:sz w:val="15"/>
                <w:szCs w:val="15"/>
              </w:rPr>
            </w:pPr>
            <w:r>
              <w:rPr>
                <w:rFonts w:hint="eastAsia" w:cs="Times New Roman"/>
                <w:color w:val="auto"/>
                <w:sz w:val="15"/>
                <w:szCs w:val="15"/>
              </w:rPr>
              <w:t>实际值</w:t>
            </w:r>
          </w:p>
        </w:tc>
        <w:tc>
          <w:tcPr>
            <w:tcW w:w="1775" w:type="dxa"/>
            <w:gridSpan w:val="2"/>
            <w:vAlign w:val="center"/>
          </w:tcPr>
          <w:p>
            <w:pPr>
              <w:spacing w:line="300" w:lineRule="auto"/>
              <w:jc w:val="center"/>
              <w:rPr>
                <w:rFonts w:cs="Times New Roman"/>
                <w:color w:val="auto"/>
                <w:sz w:val="15"/>
                <w:szCs w:val="15"/>
              </w:rPr>
            </w:pPr>
          </w:p>
        </w:tc>
        <w:tc>
          <w:tcPr>
            <w:tcW w:w="1377" w:type="dxa"/>
            <w:vAlign w:val="center"/>
          </w:tcPr>
          <w:p>
            <w:pPr>
              <w:spacing w:line="300" w:lineRule="auto"/>
              <w:jc w:val="center"/>
              <w:rPr>
                <w:rFonts w:cs="Times New Roman"/>
                <w:color w:val="auto"/>
                <w:sz w:val="15"/>
                <w:szCs w:val="15"/>
              </w:rPr>
            </w:pPr>
          </w:p>
        </w:tc>
        <w:tc>
          <w:tcPr>
            <w:tcW w:w="1463"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8"/>
            <w:vAlign w:val="center"/>
          </w:tcPr>
          <w:p>
            <w:pPr>
              <w:spacing w:line="300" w:lineRule="auto"/>
              <w:jc w:val="center"/>
              <w:rPr>
                <w:rFonts w:cs="Times New Roman"/>
                <w:color w:val="auto"/>
                <w:sz w:val="15"/>
                <w:szCs w:val="15"/>
              </w:rPr>
            </w:pPr>
            <w:r>
              <w:rPr>
                <w:rFonts w:hint="eastAsia" w:cs="Times New Roman"/>
                <w:color w:val="auto"/>
                <w:sz w:val="15"/>
                <w:szCs w:val="15"/>
              </w:rPr>
              <w:t>Q</w:t>
            </w:r>
            <w:r>
              <w:rPr>
                <w:rFonts w:hint="eastAsia" w:cs="Times New Roman"/>
                <w:color w:val="auto"/>
                <w:sz w:val="15"/>
                <w:szCs w:val="15"/>
                <w:vertAlign w:val="subscript"/>
              </w:rPr>
              <w:t>4c</w:t>
            </w:r>
            <w:r>
              <w:rPr>
                <w:rFonts w:ascii="Arial" w:hAnsi="Arial" w:cs="Arial"/>
                <w:color w:val="auto"/>
                <w:sz w:val="15"/>
                <w:szCs w:val="15"/>
              </w:rPr>
              <w:t>≥</w:t>
            </w:r>
            <w:r>
              <w:rPr>
                <w:rFonts w:hint="eastAsia" w:cs="Times New Roman"/>
                <w:color w:val="auto"/>
                <w:sz w:val="15"/>
                <w:szCs w:val="15"/>
              </w:rPr>
              <w:t>50%，指标得分=1；</w:t>
            </w:r>
            <w:r>
              <w:rPr>
                <w:rFonts w:cs="Times New Roman"/>
                <w:color w:val="auto"/>
                <w:sz w:val="15"/>
                <w:szCs w:val="15"/>
              </w:rPr>
              <w:t>Q</w:t>
            </w:r>
            <w:r>
              <w:rPr>
                <w:rFonts w:cs="Times New Roman"/>
                <w:color w:val="auto"/>
                <w:sz w:val="15"/>
                <w:szCs w:val="15"/>
                <w:vertAlign w:val="subscript"/>
              </w:rPr>
              <w:t>4c</w:t>
            </w:r>
            <w:r>
              <w:rPr>
                <w:rFonts w:cs="Times New Roman"/>
                <w:color w:val="auto"/>
                <w:sz w:val="15"/>
                <w:szCs w:val="15"/>
              </w:rPr>
              <w:t>= A4</w:t>
            </w:r>
            <w:r>
              <w:rPr>
                <w:rFonts w:cs="Times New Roman"/>
                <w:color w:val="auto"/>
                <w:sz w:val="15"/>
                <w:szCs w:val="15"/>
                <w:vertAlign w:val="subscript"/>
              </w:rPr>
              <w:t>c</w:t>
            </w:r>
            <w:r>
              <w:rPr>
                <w:rFonts w:cs="Times New Roman"/>
                <w:color w:val="auto"/>
                <w:sz w:val="15"/>
                <w:szCs w:val="15"/>
              </w:rPr>
              <w:t>/A</w:t>
            </w:r>
            <w:r>
              <w:rPr>
                <w:rFonts w:cs="Times New Roman"/>
                <w:color w:val="auto"/>
                <w:sz w:val="15"/>
                <w:szCs w:val="15"/>
                <w:vertAlign w:val="subscript"/>
              </w:rPr>
              <w:t>t</w:t>
            </w:r>
            <w:r>
              <w:rPr>
                <w:rFonts w:cs="Times New Roman"/>
                <w:color w:val="auto"/>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485" w:type="dxa"/>
            <w:gridSpan w:val="2"/>
          </w:tcPr>
          <w:p>
            <w:pPr>
              <w:spacing w:line="300" w:lineRule="auto"/>
              <w:jc w:val="center"/>
              <w:rPr>
                <w:rFonts w:cs="Times New Roman"/>
                <w:color w:val="auto"/>
                <w:sz w:val="15"/>
                <w:szCs w:val="15"/>
              </w:rPr>
            </w:pPr>
            <w:r>
              <w:rPr>
                <w:rFonts w:hint="eastAsia" w:cs="Times New Roman"/>
                <w:color w:val="auto"/>
                <w:sz w:val="15"/>
                <w:szCs w:val="15"/>
              </w:rPr>
              <w:t>设计标准化指标设计得分值Q</w:t>
            </w:r>
            <w:r>
              <w:rPr>
                <w:rFonts w:hint="eastAsia" w:cs="Times New Roman"/>
                <w:color w:val="auto"/>
                <w:sz w:val="15"/>
                <w:szCs w:val="15"/>
                <w:vertAlign w:val="subscript"/>
              </w:rPr>
              <w:t>4D</w:t>
            </w:r>
          </w:p>
        </w:tc>
        <w:tc>
          <w:tcPr>
            <w:tcW w:w="1775" w:type="dxa"/>
            <w:gridSpan w:val="2"/>
          </w:tcPr>
          <w:p>
            <w:pPr>
              <w:spacing w:line="300" w:lineRule="auto"/>
              <w:jc w:val="center"/>
              <w:rPr>
                <w:rFonts w:cs="Times New Roman"/>
                <w:color w:val="auto"/>
                <w:sz w:val="15"/>
                <w:szCs w:val="15"/>
              </w:rPr>
            </w:pPr>
          </w:p>
        </w:tc>
        <w:tc>
          <w:tcPr>
            <w:tcW w:w="2412" w:type="dxa"/>
            <w:gridSpan w:val="2"/>
          </w:tcPr>
          <w:p>
            <w:pPr>
              <w:spacing w:line="300" w:lineRule="auto"/>
              <w:jc w:val="center"/>
              <w:rPr>
                <w:rFonts w:cs="Times New Roman"/>
                <w:color w:val="auto"/>
                <w:sz w:val="15"/>
                <w:szCs w:val="15"/>
              </w:rPr>
            </w:pPr>
            <w:r>
              <w:rPr>
                <w:rFonts w:hint="eastAsia" w:cs="Times New Roman"/>
                <w:color w:val="auto"/>
                <w:sz w:val="15"/>
                <w:szCs w:val="15"/>
              </w:rPr>
              <w:t>设计标准化指标实际得分值Q</w:t>
            </w:r>
            <w:r>
              <w:rPr>
                <w:rFonts w:hint="eastAsia" w:cs="Times New Roman"/>
                <w:color w:val="auto"/>
                <w:sz w:val="15"/>
                <w:szCs w:val="15"/>
                <w:vertAlign w:val="subscript"/>
              </w:rPr>
              <w:t>4A</w:t>
            </w:r>
          </w:p>
        </w:tc>
        <w:tc>
          <w:tcPr>
            <w:tcW w:w="1850" w:type="dxa"/>
            <w:gridSpan w:val="2"/>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48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部品部件类型</w:t>
            </w:r>
          </w:p>
        </w:tc>
        <w:tc>
          <w:tcPr>
            <w:tcW w:w="177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工程总承包</w:t>
            </w:r>
          </w:p>
        </w:tc>
        <w:tc>
          <w:tcPr>
            <w:tcW w:w="1377" w:type="dxa"/>
            <w:vAlign w:val="center"/>
          </w:tcPr>
          <w:p>
            <w:pPr>
              <w:spacing w:line="300" w:lineRule="auto"/>
              <w:jc w:val="center"/>
              <w:rPr>
                <w:rFonts w:cs="Times New Roman"/>
                <w:color w:val="auto"/>
                <w:sz w:val="15"/>
                <w:szCs w:val="15"/>
              </w:rPr>
            </w:pPr>
            <w:r>
              <w:rPr>
                <w:rFonts w:hint="eastAsia" w:cs="Times New Roman"/>
                <w:color w:val="auto"/>
                <w:sz w:val="15"/>
                <w:szCs w:val="15"/>
              </w:rPr>
              <w:t>BIM技术应用</w:t>
            </w:r>
          </w:p>
          <w:p>
            <w:pPr>
              <w:spacing w:line="300" w:lineRule="auto"/>
              <w:jc w:val="center"/>
              <w:rPr>
                <w:rFonts w:cs="Times New Roman"/>
                <w:color w:val="auto"/>
                <w:sz w:val="15"/>
                <w:szCs w:val="15"/>
              </w:rPr>
            </w:pPr>
            <w:r>
              <w:rPr>
                <w:rFonts w:hint="eastAsia" w:cs="Times New Roman"/>
                <w:color w:val="auto"/>
                <w:sz w:val="15"/>
                <w:szCs w:val="15"/>
              </w:rPr>
              <w:t>（设计阶段）</w:t>
            </w:r>
          </w:p>
        </w:tc>
        <w:tc>
          <w:tcPr>
            <w:tcW w:w="1463"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BIM技术应用</w:t>
            </w:r>
          </w:p>
          <w:p>
            <w:pPr>
              <w:spacing w:line="300" w:lineRule="auto"/>
              <w:jc w:val="center"/>
              <w:rPr>
                <w:rFonts w:cs="Times New Roman"/>
                <w:color w:val="auto"/>
                <w:sz w:val="15"/>
                <w:szCs w:val="15"/>
              </w:rPr>
            </w:pPr>
            <w:r>
              <w:rPr>
                <w:rFonts w:hint="eastAsia" w:cs="Times New Roman"/>
                <w:color w:val="auto"/>
                <w:sz w:val="15"/>
                <w:szCs w:val="15"/>
              </w:rPr>
              <w:t>（施工阶段）</w:t>
            </w:r>
          </w:p>
        </w:tc>
        <w:tc>
          <w:tcPr>
            <w:tcW w:w="1422" w:type="dxa"/>
            <w:vAlign w:val="center"/>
          </w:tcPr>
          <w:p>
            <w:pPr>
              <w:spacing w:line="300" w:lineRule="auto"/>
              <w:jc w:val="center"/>
              <w:rPr>
                <w:rFonts w:cs="Times New Roman"/>
                <w:color w:val="auto"/>
                <w:sz w:val="15"/>
                <w:szCs w:val="15"/>
              </w:rPr>
            </w:pPr>
            <w:r>
              <w:rPr>
                <w:rFonts w:hint="eastAsia" w:cs="Times New Roman"/>
                <w:color w:val="auto"/>
                <w:sz w:val="15"/>
                <w:szCs w:val="15"/>
              </w:rPr>
              <w:t>指标得分Q</w:t>
            </w:r>
            <w:r>
              <w:rPr>
                <w:rFonts w:hint="eastAsia" w:cs="Times New Roman"/>
                <w:color w:val="auto"/>
                <w:sz w:val="15"/>
                <w:szCs w:val="15"/>
                <w:vertAlign w:val="sub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48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创新项</w:t>
            </w:r>
          </w:p>
        </w:tc>
        <w:tc>
          <w:tcPr>
            <w:tcW w:w="1775" w:type="dxa"/>
            <w:gridSpan w:val="2"/>
            <w:vAlign w:val="center"/>
          </w:tcPr>
          <w:p>
            <w:pPr>
              <w:spacing w:line="300" w:lineRule="auto"/>
              <w:jc w:val="center"/>
              <w:rPr>
                <w:rFonts w:cs="Times New Roman"/>
                <w:color w:val="auto"/>
                <w:sz w:val="15"/>
                <w:szCs w:val="15"/>
              </w:rPr>
            </w:pPr>
          </w:p>
        </w:tc>
        <w:tc>
          <w:tcPr>
            <w:tcW w:w="1377" w:type="dxa"/>
            <w:vAlign w:val="center"/>
          </w:tcPr>
          <w:p>
            <w:pPr>
              <w:spacing w:line="300" w:lineRule="auto"/>
              <w:jc w:val="center"/>
              <w:rPr>
                <w:rFonts w:cs="Times New Roman"/>
                <w:color w:val="auto"/>
                <w:sz w:val="15"/>
                <w:szCs w:val="15"/>
              </w:rPr>
            </w:pPr>
          </w:p>
        </w:tc>
        <w:tc>
          <w:tcPr>
            <w:tcW w:w="1463" w:type="dxa"/>
            <w:gridSpan w:val="2"/>
            <w:vAlign w:val="center"/>
          </w:tcPr>
          <w:p>
            <w:pPr>
              <w:spacing w:line="300" w:lineRule="auto"/>
              <w:jc w:val="center"/>
              <w:rPr>
                <w:rFonts w:cs="Times New Roman"/>
                <w:color w:val="auto"/>
                <w:sz w:val="15"/>
                <w:szCs w:val="15"/>
              </w:rPr>
            </w:pPr>
          </w:p>
        </w:tc>
        <w:tc>
          <w:tcPr>
            <w:tcW w:w="1422"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8522" w:type="dxa"/>
            <w:gridSpan w:val="8"/>
            <w:vAlign w:val="center"/>
          </w:tcPr>
          <w:p>
            <w:pPr>
              <w:spacing w:line="300" w:lineRule="auto"/>
              <w:jc w:val="center"/>
              <w:rPr>
                <w:rFonts w:cs="Times New Roman"/>
                <w:color w:val="auto"/>
                <w:sz w:val="15"/>
                <w:szCs w:val="15"/>
              </w:rPr>
            </w:pPr>
            <w:r>
              <w:rPr>
                <w:rFonts w:hint="eastAsia" w:cs="Times New Roman"/>
                <w:color w:val="auto"/>
                <w:sz w:val="15"/>
                <w:szCs w:val="15"/>
              </w:rPr>
              <w:t>实行工程总承包方式，指标得分2分；</w:t>
            </w:r>
          </w:p>
          <w:p>
            <w:pPr>
              <w:spacing w:line="300" w:lineRule="auto"/>
              <w:jc w:val="center"/>
              <w:rPr>
                <w:color w:val="auto"/>
              </w:rPr>
            </w:pPr>
            <w:r>
              <w:rPr>
                <w:rFonts w:hint="eastAsia" w:cs="Times New Roman"/>
                <w:color w:val="auto"/>
                <w:sz w:val="15"/>
                <w:szCs w:val="15"/>
              </w:rPr>
              <w:t>BIM技术应用（设计、施工）每个技术应用点提供相关资料可得0.5分，各阶段总分不超过2分。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22" w:type="dxa"/>
            <w:gridSpan w:val="8"/>
          </w:tcPr>
          <w:p>
            <w:pPr>
              <w:spacing w:line="300" w:lineRule="auto"/>
              <w:rPr>
                <w:rFonts w:cs="Times New Roman"/>
                <w:color w:val="auto"/>
                <w:sz w:val="15"/>
                <w:szCs w:val="15"/>
              </w:rPr>
            </w:pPr>
            <w:r>
              <w:rPr>
                <w:rFonts w:hint="eastAsia" w:cs="Times New Roman"/>
                <w:color w:val="auto"/>
                <w:sz w:val="15"/>
                <w:szCs w:val="15"/>
              </w:rPr>
              <w:t>建设单位（签字盖章）：                                  施工单位：（签字盖章）</w:t>
            </w:r>
          </w:p>
          <w:p>
            <w:pPr>
              <w:spacing w:before="312" w:after="312" w:line="300" w:lineRule="auto"/>
              <w:ind w:firstLine="1125" w:firstLineChars="750"/>
              <w:rPr>
                <w:rFonts w:ascii="宋体" w:eastAsia="黑体" w:cs="Times New Roman"/>
                <w:color w:val="auto"/>
                <w:sz w:val="15"/>
                <w:szCs w:val="15"/>
              </w:rPr>
            </w:pPr>
            <w:r>
              <w:rPr>
                <w:rFonts w:hint="eastAsia" w:cs="Times New Roman"/>
                <w:color w:val="auto"/>
                <w:sz w:val="15"/>
                <w:szCs w:val="15"/>
              </w:rPr>
              <w:t>年    月    日                                              年    月    日</w:t>
            </w:r>
          </w:p>
          <w:p>
            <w:pPr>
              <w:spacing w:line="300" w:lineRule="auto"/>
              <w:rPr>
                <w:rFonts w:cs="Times New Roman"/>
                <w:color w:val="auto"/>
                <w:sz w:val="15"/>
                <w:szCs w:val="15"/>
              </w:rPr>
            </w:pPr>
            <w:r>
              <w:rPr>
                <w:rFonts w:hint="eastAsia" w:cs="Times New Roman"/>
                <w:color w:val="auto"/>
                <w:sz w:val="15"/>
                <w:szCs w:val="15"/>
              </w:rPr>
              <w:t>监理单位（签字盖章）：                                  设计单位：（签字盖章）</w:t>
            </w:r>
          </w:p>
          <w:p>
            <w:pPr>
              <w:spacing w:before="312" w:after="312" w:line="300" w:lineRule="auto"/>
              <w:ind w:firstLine="1125" w:firstLineChars="750"/>
              <w:rPr>
                <w:rFonts w:ascii="宋体" w:eastAsia="黑体" w:cs="Times New Roman"/>
                <w:color w:val="auto"/>
                <w:sz w:val="15"/>
                <w:szCs w:val="15"/>
              </w:rPr>
            </w:pPr>
            <w:r>
              <w:rPr>
                <w:rFonts w:hint="eastAsia" w:cs="Times New Roman"/>
                <w:color w:val="auto"/>
                <w:sz w:val="15"/>
                <w:szCs w:val="15"/>
              </w:rPr>
              <w:t>年    月    日                                              年    月    日</w:t>
            </w:r>
          </w:p>
        </w:tc>
      </w:tr>
    </w:tbl>
    <w:p>
      <w:pPr>
        <w:spacing w:line="300" w:lineRule="auto"/>
        <w:ind w:firstLine="400" w:firstLineChars="200"/>
        <w:rPr>
          <w:rFonts w:cs="Times New Roman"/>
          <w:color w:val="auto"/>
          <w:sz w:val="24"/>
          <w:szCs w:val="24"/>
        </w:rPr>
      </w:pPr>
      <w:r>
        <w:rPr>
          <w:rFonts w:ascii="仿宋" w:hAnsi="仿宋" w:eastAsia="仿宋" w:cs="仿宋"/>
          <w:color w:val="auto"/>
          <w:kern w:val="0"/>
          <w:sz w:val="20"/>
          <w:szCs w:val="20"/>
        </w:rPr>
        <w:t>注：表中带“*”项的分值采用“内插法”计算，计算结果取小数点后 1 位。</w:t>
      </w:r>
    </w:p>
    <w:p>
      <w:pPr>
        <w:spacing w:line="300" w:lineRule="auto"/>
        <w:rPr>
          <w:rFonts w:cs="Times New Roman"/>
          <w:color w:val="auto"/>
          <w:sz w:val="24"/>
          <w:szCs w:val="24"/>
        </w:rPr>
      </w:pPr>
      <w:r>
        <w:rPr>
          <w:rFonts w:hint="eastAsia" w:cs="Times New Roman"/>
          <w:color w:val="auto"/>
          <w:sz w:val="24"/>
          <w:szCs w:val="24"/>
        </w:rPr>
        <w:t>6.2.5装配式混凝土结构装配率计算</w:t>
      </w:r>
    </w:p>
    <w:p>
      <w:pPr>
        <w:spacing w:line="300" w:lineRule="auto"/>
        <w:ind w:firstLine="480" w:firstLineChars="200"/>
        <w:jc w:val="left"/>
        <w:rPr>
          <w:rFonts w:cs="Times New Roman"/>
          <w:color w:val="auto"/>
          <w:sz w:val="24"/>
          <w:szCs w:val="24"/>
        </w:rPr>
      </w:pPr>
      <w:r>
        <w:rPr>
          <w:rFonts w:hint="eastAsia" w:cs="Times New Roman"/>
          <w:color w:val="auto"/>
          <w:sz w:val="24"/>
          <w:szCs w:val="24"/>
        </w:rPr>
        <w:t>装配式混凝土结构设计装配率及验收装配率计算参照表6-2-5进行。</w:t>
      </w:r>
    </w:p>
    <w:p>
      <w:pPr>
        <w:spacing w:line="300" w:lineRule="auto"/>
        <w:jc w:val="center"/>
        <w:rPr>
          <w:rFonts w:cs="Times New Roman"/>
          <w:color w:val="auto"/>
          <w:sz w:val="24"/>
          <w:szCs w:val="24"/>
        </w:rPr>
      </w:pPr>
      <w:r>
        <w:rPr>
          <w:rFonts w:hint="eastAsia" w:cs="Times New Roman"/>
          <w:color w:val="auto"/>
          <w:sz w:val="24"/>
          <w:szCs w:val="24"/>
        </w:rPr>
        <w:t>表6-2-5  装配式混凝土结构装配率计算表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5"/>
        <w:gridCol w:w="1065"/>
        <w:gridCol w:w="1015"/>
        <w:gridCol w:w="51"/>
        <w:gridCol w:w="1065"/>
        <w:gridCol w:w="311"/>
        <w:gridCol w:w="754"/>
        <w:gridCol w:w="106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300" w:lineRule="auto"/>
              <w:rPr>
                <w:rFonts w:cs="Times New Roman"/>
                <w:color w:val="auto"/>
                <w:sz w:val="15"/>
                <w:szCs w:val="15"/>
              </w:rPr>
            </w:pPr>
            <w:r>
              <w:rPr>
                <w:rFonts w:hint="eastAsia" w:cs="Times New Roman"/>
                <w:color w:val="auto"/>
                <w:sz w:val="15"/>
                <w:szCs w:val="15"/>
              </w:rPr>
              <w:t>工程名称</w:t>
            </w:r>
          </w:p>
        </w:tc>
        <w:tc>
          <w:tcPr>
            <w:tcW w:w="2080" w:type="dxa"/>
            <w:gridSpan w:val="2"/>
          </w:tcPr>
          <w:p>
            <w:pPr>
              <w:spacing w:line="300" w:lineRule="auto"/>
              <w:rPr>
                <w:rFonts w:cs="Times New Roman"/>
                <w:color w:val="auto"/>
                <w:sz w:val="15"/>
                <w:szCs w:val="15"/>
              </w:rPr>
            </w:pPr>
          </w:p>
        </w:tc>
        <w:tc>
          <w:tcPr>
            <w:tcW w:w="1427" w:type="dxa"/>
            <w:gridSpan w:val="3"/>
          </w:tcPr>
          <w:p>
            <w:pPr>
              <w:spacing w:line="300" w:lineRule="auto"/>
              <w:rPr>
                <w:rFonts w:cs="Times New Roman"/>
                <w:color w:val="auto"/>
                <w:sz w:val="15"/>
                <w:szCs w:val="15"/>
              </w:rPr>
            </w:pPr>
            <w:r>
              <w:rPr>
                <w:rFonts w:hint="eastAsia" w:cs="Times New Roman"/>
                <w:color w:val="auto"/>
                <w:sz w:val="15"/>
                <w:szCs w:val="15"/>
              </w:rPr>
              <w:t>施工进度</w:t>
            </w:r>
          </w:p>
        </w:tc>
        <w:tc>
          <w:tcPr>
            <w:tcW w:w="2886"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9" w:type="dxa"/>
            <w:gridSpan w:val="2"/>
          </w:tcPr>
          <w:p>
            <w:pPr>
              <w:spacing w:line="300" w:lineRule="auto"/>
              <w:rPr>
                <w:rFonts w:cs="Times New Roman"/>
                <w:color w:val="auto"/>
                <w:sz w:val="15"/>
                <w:szCs w:val="15"/>
              </w:rPr>
            </w:pPr>
            <w:r>
              <w:rPr>
                <w:rFonts w:hint="eastAsia" w:cs="Times New Roman"/>
                <w:color w:val="auto"/>
                <w:sz w:val="15"/>
                <w:szCs w:val="15"/>
              </w:rPr>
              <w:t>建筑面积</w:t>
            </w:r>
          </w:p>
        </w:tc>
        <w:tc>
          <w:tcPr>
            <w:tcW w:w="2080" w:type="dxa"/>
            <w:gridSpan w:val="2"/>
          </w:tcPr>
          <w:p>
            <w:pPr>
              <w:spacing w:line="300" w:lineRule="auto"/>
              <w:rPr>
                <w:rFonts w:cs="Times New Roman"/>
                <w:color w:val="auto"/>
                <w:sz w:val="15"/>
                <w:szCs w:val="15"/>
              </w:rPr>
            </w:pPr>
          </w:p>
        </w:tc>
        <w:tc>
          <w:tcPr>
            <w:tcW w:w="1427" w:type="dxa"/>
            <w:gridSpan w:val="3"/>
          </w:tcPr>
          <w:p>
            <w:pPr>
              <w:spacing w:line="300" w:lineRule="auto"/>
              <w:rPr>
                <w:rFonts w:cs="Times New Roman"/>
                <w:color w:val="auto"/>
                <w:sz w:val="15"/>
                <w:szCs w:val="15"/>
              </w:rPr>
            </w:pPr>
            <w:r>
              <w:rPr>
                <w:rFonts w:hint="eastAsia" w:cs="Times New Roman"/>
                <w:color w:val="auto"/>
                <w:sz w:val="15"/>
                <w:szCs w:val="15"/>
              </w:rPr>
              <w:t>结构层次</w:t>
            </w:r>
          </w:p>
        </w:tc>
        <w:tc>
          <w:tcPr>
            <w:tcW w:w="2886"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300" w:lineRule="auto"/>
              <w:rPr>
                <w:rFonts w:cs="Times New Roman"/>
                <w:color w:val="auto"/>
                <w:sz w:val="15"/>
                <w:szCs w:val="15"/>
              </w:rPr>
            </w:pPr>
            <w:r>
              <w:rPr>
                <w:rFonts w:hint="eastAsia" w:cs="Times New Roman"/>
                <w:color w:val="auto"/>
                <w:sz w:val="15"/>
                <w:szCs w:val="15"/>
              </w:rPr>
              <w:t>建设单位</w:t>
            </w:r>
          </w:p>
        </w:tc>
        <w:tc>
          <w:tcPr>
            <w:tcW w:w="2080" w:type="dxa"/>
            <w:gridSpan w:val="2"/>
          </w:tcPr>
          <w:p>
            <w:pPr>
              <w:spacing w:line="300" w:lineRule="auto"/>
              <w:rPr>
                <w:rFonts w:cs="Times New Roman"/>
                <w:color w:val="auto"/>
                <w:sz w:val="15"/>
                <w:szCs w:val="15"/>
              </w:rPr>
            </w:pPr>
          </w:p>
        </w:tc>
        <w:tc>
          <w:tcPr>
            <w:tcW w:w="1427" w:type="dxa"/>
            <w:gridSpan w:val="3"/>
          </w:tcPr>
          <w:p>
            <w:pPr>
              <w:spacing w:line="300" w:lineRule="auto"/>
              <w:rPr>
                <w:rFonts w:cs="Times New Roman"/>
                <w:color w:val="auto"/>
                <w:sz w:val="15"/>
                <w:szCs w:val="15"/>
              </w:rPr>
            </w:pPr>
            <w:r>
              <w:rPr>
                <w:rFonts w:hint="eastAsia" w:cs="Times New Roman"/>
                <w:color w:val="auto"/>
                <w:sz w:val="15"/>
                <w:szCs w:val="15"/>
              </w:rPr>
              <w:t>设计单位</w:t>
            </w:r>
          </w:p>
        </w:tc>
        <w:tc>
          <w:tcPr>
            <w:tcW w:w="2886"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300" w:lineRule="auto"/>
              <w:rPr>
                <w:rFonts w:cs="Times New Roman"/>
                <w:color w:val="auto"/>
                <w:sz w:val="15"/>
                <w:szCs w:val="15"/>
              </w:rPr>
            </w:pPr>
            <w:r>
              <w:rPr>
                <w:rFonts w:hint="eastAsia" w:cs="Times New Roman"/>
                <w:color w:val="auto"/>
                <w:sz w:val="15"/>
                <w:szCs w:val="15"/>
              </w:rPr>
              <w:t>施工单位</w:t>
            </w:r>
          </w:p>
        </w:tc>
        <w:tc>
          <w:tcPr>
            <w:tcW w:w="2080" w:type="dxa"/>
            <w:gridSpan w:val="2"/>
          </w:tcPr>
          <w:p>
            <w:pPr>
              <w:spacing w:line="300" w:lineRule="auto"/>
              <w:rPr>
                <w:rFonts w:cs="Times New Roman"/>
                <w:color w:val="auto"/>
                <w:sz w:val="15"/>
                <w:szCs w:val="15"/>
              </w:rPr>
            </w:pPr>
          </w:p>
        </w:tc>
        <w:tc>
          <w:tcPr>
            <w:tcW w:w="1427" w:type="dxa"/>
            <w:gridSpan w:val="3"/>
          </w:tcPr>
          <w:p>
            <w:pPr>
              <w:spacing w:line="300" w:lineRule="auto"/>
              <w:rPr>
                <w:rFonts w:cs="Times New Roman"/>
                <w:color w:val="auto"/>
                <w:sz w:val="15"/>
                <w:szCs w:val="15"/>
              </w:rPr>
            </w:pPr>
            <w:r>
              <w:rPr>
                <w:rFonts w:hint="eastAsia" w:cs="Times New Roman"/>
                <w:color w:val="auto"/>
                <w:sz w:val="15"/>
                <w:szCs w:val="15"/>
              </w:rPr>
              <w:t>监理单位</w:t>
            </w:r>
          </w:p>
        </w:tc>
        <w:tc>
          <w:tcPr>
            <w:tcW w:w="2886"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300" w:lineRule="auto"/>
              <w:rPr>
                <w:rFonts w:cs="Times New Roman"/>
                <w:color w:val="auto"/>
                <w:sz w:val="15"/>
                <w:szCs w:val="15"/>
              </w:rPr>
            </w:pPr>
            <w:r>
              <w:rPr>
                <w:rFonts w:hint="eastAsia" w:cs="Times New Roman"/>
                <w:color w:val="auto"/>
                <w:sz w:val="15"/>
                <w:szCs w:val="15"/>
              </w:rPr>
              <w:t>构件</w:t>
            </w:r>
            <w:r>
              <w:rPr>
                <w:rFonts w:hint="eastAsia" w:cs="Times New Roman"/>
                <w:color w:val="auto"/>
                <w:sz w:val="15"/>
                <w:szCs w:val="15"/>
                <w:lang w:eastAsia="zh-CN"/>
              </w:rPr>
              <w:t>、</w:t>
            </w:r>
            <w:r>
              <w:rPr>
                <w:rFonts w:hint="eastAsia" w:cs="Times New Roman"/>
                <w:color w:val="auto"/>
                <w:sz w:val="15"/>
                <w:szCs w:val="15"/>
              </w:rPr>
              <w:t>部品部件生产企业</w:t>
            </w:r>
          </w:p>
        </w:tc>
        <w:tc>
          <w:tcPr>
            <w:tcW w:w="6393" w:type="dxa"/>
            <w:gridSpan w:val="8"/>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300" w:lineRule="auto"/>
              <w:rPr>
                <w:rFonts w:cs="Times New Roman"/>
                <w:color w:val="auto"/>
                <w:sz w:val="15"/>
                <w:szCs w:val="15"/>
              </w:rPr>
            </w:pPr>
            <w:r>
              <w:rPr>
                <w:rFonts w:hint="eastAsia" w:cs="Times New Roman"/>
                <w:color w:val="auto"/>
                <w:sz w:val="15"/>
                <w:szCs w:val="15"/>
              </w:rPr>
              <w:t>单栋建筑编号</w:t>
            </w:r>
          </w:p>
        </w:tc>
        <w:tc>
          <w:tcPr>
            <w:tcW w:w="2080" w:type="dxa"/>
            <w:gridSpan w:val="2"/>
          </w:tcPr>
          <w:p>
            <w:pPr>
              <w:spacing w:line="300" w:lineRule="auto"/>
              <w:rPr>
                <w:rFonts w:cs="Times New Roman"/>
                <w:color w:val="auto"/>
                <w:sz w:val="15"/>
                <w:szCs w:val="15"/>
              </w:rPr>
            </w:pPr>
          </w:p>
        </w:tc>
        <w:tc>
          <w:tcPr>
            <w:tcW w:w="1427" w:type="dxa"/>
            <w:gridSpan w:val="3"/>
          </w:tcPr>
          <w:p>
            <w:pPr>
              <w:spacing w:line="300" w:lineRule="auto"/>
              <w:rPr>
                <w:rFonts w:cs="Times New Roman"/>
                <w:color w:val="auto"/>
                <w:sz w:val="15"/>
                <w:szCs w:val="15"/>
              </w:rPr>
            </w:pPr>
            <w:r>
              <w:rPr>
                <w:rFonts w:hint="eastAsia" w:cs="Times New Roman"/>
                <w:color w:val="auto"/>
                <w:sz w:val="15"/>
                <w:szCs w:val="15"/>
              </w:rPr>
              <w:t>单体设计装配率</w:t>
            </w:r>
          </w:p>
        </w:tc>
        <w:tc>
          <w:tcPr>
            <w:tcW w:w="2886" w:type="dxa"/>
            <w:gridSpan w:val="3"/>
          </w:tcPr>
          <w:p>
            <w:pPr>
              <w:spacing w:line="300" w:lineRule="auto"/>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064" w:type="dxa"/>
            <w:vAlign w:val="center"/>
          </w:tcPr>
          <w:p>
            <w:pPr>
              <w:spacing w:line="300" w:lineRule="auto"/>
              <w:jc w:val="center"/>
              <w:rPr>
                <w:rFonts w:cs="Times New Roman"/>
                <w:color w:val="auto"/>
                <w:sz w:val="15"/>
                <w:szCs w:val="15"/>
              </w:rPr>
            </w:pPr>
            <w:r>
              <w:rPr>
                <w:rFonts w:hint="eastAsia" w:cs="Times New Roman"/>
                <w:color w:val="auto"/>
                <w:sz w:val="15"/>
                <w:szCs w:val="15"/>
              </w:rPr>
              <w:t>计算项目</w:t>
            </w:r>
          </w:p>
        </w:tc>
        <w:tc>
          <w:tcPr>
            <w:tcW w:w="1065" w:type="dxa"/>
            <w:vAlign w:val="center"/>
          </w:tcPr>
          <w:p>
            <w:pPr>
              <w:spacing w:line="300" w:lineRule="auto"/>
              <w:jc w:val="center"/>
              <w:rPr>
                <w:rFonts w:cs="Times New Roman"/>
                <w:color w:val="auto"/>
                <w:sz w:val="15"/>
                <w:szCs w:val="15"/>
              </w:rPr>
            </w:pPr>
            <w:r>
              <w:rPr>
                <w:rFonts w:hint="eastAsia" w:cs="Times New Roman"/>
                <w:color w:val="auto"/>
                <w:sz w:val="15"/>
                <w:szCs w:val="15"/>
              </w:rPr>
              <w:t>主体结构指标得分值Q</w:t>
            </w:r>
            <w:r>
              <w:rPr>
                <w:rFonts w:hint="eastAsia" w:cs="Times New Roman"/>
                <w:color w:val="auto"/>
                <w:sz w:val="15"/>
                <w:szCs w:val="15"/>
                <w:vertAlign w:val="subscript"/>
              </w:rPr>
              <w:t>1</w:t>
            </w:r>
          </w:p>
        </w:tc>
        <w:tc>
          <w:tcPr>
            <w:tcW w:w="1065" w:type="dxa"/>
            <w:vAlign w:val="center"/>
          </w:tcPr>
          <w:p>
            <w:pPr>
              <w:spacing w:line="300" w:lineRule="auto"/>
              <w:jc w:val="center"/>
              <w:rPr>
                <w:rFonts w:cs="Times New Roman"/>
                <w:color w:val="auto"/>
                <w:sz w:val="15"/>
                <w:szCs w:val="15"/>
              </w:rPr>
            </w:pPr>
            <w:r>
              <w:rPr>
                <w:rFonts w:hint="eastAsia" w:cs="Times New Roman"/>
                <w:color w:val="auto"/>
                <w:sz w:val="15"/>
                <w:szCs w:val="15"/>
              </w:rPr>
              <w:t>围护墙和内隔墙指标得分值Q</w:t>
            </w:r>
            <w:r>
              <w:rPr>
                <w:rFonts w:hint="eastAsia" w:cs="Times New Roman"/>
                <w:color w:val="auto"/>
                <w:sz w:val="15"/>
                <w:szCs w:val="15"/>
                <w:vertAlign w:val="subscript"/>
              </w:rPr>
              <w:t>2</w:t>
            </w:r>
          </w:p>
        </w:tc>
        <w:tc>
          <w:tcPr>
            <w:tcW w:w="1015" w:type="dxa"/>
            <w:vAlign w:val="center"/>
          </w:tcPr>
          <w:p>
            <w:pPr>
              <w:spacing w:line="300" w:lineRule="auto"/>
              <w:jc w:val="center"/>
              <w:rPr>
                <w:rFonts w:cs="Times New Roman"/>
                <w:color w:val="auto"/>
                <w:sz w:val="15"/>
                <w:szCs w:val="15"/>
              </w:rPr>
            </w:pPr>
            <w:r>
              <w:rPr>
                <w:rFonts w:hint="eastAsia" w:cs="Times New Roman"/>
                <w:color w:val="auto"/>
                <w:sz w:val="15"/>
                <w:szCs w:val="15"/>
              </w:rPr>
              <w:t>装修和设备管线指标得分值Q</w:t>
            </w:r>
            <w:r>
              <w:rPr>
                <w:rFonts w:hint="eastAsia" w:cs="Times New Roman"/>
                <w:color w:val="auto"/>
                <w:sz w:val="15"/>
                <w:szCs w:val="15"/>
                <w:vertAlign w:val="subscript"/>
              </w:rPr>
              <w:t>3</w:t>
            </w:r>
          </w:p>
        </w:tc>
        <w:tc>
          <w:tcPr>
            <w:tcW w:w="1116"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设计标准化指标得分值Q</w:t>
            </w:r>
            <w:r>
              <w:rPr>
                <w:rFonts w:hint="eastAsia" w:cs="Times New Roman"/>
                <w:color w:val="auto"/>
                <w:sz w:val="15"/>
                <w:szCs w:val="15"/>
                <w:vertAlign w:val="subscript"/>
              </w:rPr>
              <w:t>4</w:t>
            </w:r>
          </w:p>
        </w:tc>
        <w:tc>
          <w:tcPr>
            <w:tcW w:w="1065" w:type="dxa"/>
            <w:gridSpan w:val="2"/>
            <w:vAlign w:val="center"/>
          </w:tcPr>
          <w:p>
            <w:pPr>
              <w:spacing w:line="300" w:lineRule="auto"/>
              <w:jc w:val="center"/>
              <w:rPr>
                <w:rFonts w:cs="Times New Roman"/>
                <w:color w:val="auto"/>
                <w:sz w:val="15"/>
                <w:szCs w:val="15"/>
              </w:rPr>
            </w:pPr>
            <w:r>
              <w:rPr>
                <w:rFonts w:hint="eastAsia" w:cs="Times New Roman"/>
                <w:color w:val="auto"/>
                <w:sz w:val="15"/>
                <w:szCs w:val="15"/>
              </w:rPr>
              <w:t>装配率评价项目Q</w:t>
            </w:r>
            <w:r>
              <w:rPr>
                <w:rFonts w:hint="eastAsia" w:cs="Times New Roman"/>
                <w:color w:val="auto"/>
                <w:sz w:val="15"/>
                <w:szCs w:val="15"/>
                <w:vertAlign w:val="subscript"/>
              </w:rPr>
              <w:t>1</w:t>
            </w:r>
            <w:r>
              <w:rPr>
                <w:rFonts w:hint="eastAsia" w:cs="Times New Roman"/>
                <w:color w:val="auto"/>
                <w:sz w:val="15"/>
                <w:szCs w:val="15"/>
              </w:rPr>
              <w:t>、Q</w:t>
            </w:r>
            <w:r>
              <w:rPr>
                <w:rFonts w:hint="eastAsia" w:cs="Times New Roman"/>
                <w:color w:val="auto"/>
                <w:sz w:val="15"/>
                <w:szCs w:val="15"/>
                <w:vertAlign w:val="subscript"/>
              </w:rPr>
              <w:t>2</w:t>
            </w:r>
            <w:r>
              <w:rPr>
                <w:rFonts w:hint="eastAsia" w:cs="Times New Roman"/>
                <w:color w:val="auto"/>
                <w:sz w:val="15"/>
                <w:szCs w:val="15"/>
              </w:rPr>
              <w:t>、Q</w:t>
            </w:r>
            <w:r>
              <w:rPr>
                <w:rFonts w:hint="eastAsia" w:cs="Times New Roman"/>
                <w:color w:val="auto"/>
                <w:sz w:val="15"/>
                <w:szCs w:val="15"/>
                <w:vertAlign w:val="subscript"/>
              </w:rPr>
              <w:t>3</w:t>
            </w:r>
            <w:r>
              <w:rPr>
                <w:rFonts w:hint="eastAsia" w:cs="Times New Roman"/>
                <w:color w:val="auto"/>
                <w:sz w:val="15"/>
                <w:szCs w:val="15"/>
              </w:rPr>
              <w:t>、Q</w:t>
            </w:r>
            <w:r>
              <w:rPr>
                <w:rFonts w:hint="eastAsia" w:cs="Times New Roman"/>
                <w:color w:val="auto"/>
                <w:sz w:val="15"/>
                <w:szCs w:val="15"/>
                <w:vertAlign w:val="subscript"/>
              </w:rPr>
              <w:t>4</w:t>
            </w:r>
            <w:r>
              <w:rPr>
                <w:rFonts w:hint="eastAsia" w:cs="Times New Roman"/>
                <w:color w:val="auto"/>
                <w:sz w:val="15"/>
                <w:szCs w:val="15"/>
              </w:rPr>
              <w:t>中缺少的评价项分值总和Q</w:t>
            </w:r>
            <w:r>
              <w:rPr>
                <w:rFonts w:hint="eastAsia" w:cs="Times New Roman"/>
                <w:color w:val="auto"/>
                <w:sz w:val="15"/>
                <w:szCs w:val="15"/>
                <w:vertAlign w:val="subscript"/>
              </w:rPr>
              <w:t>5</w:t>
            </w:r>
          </w:p>
        </w:tc>
        <w:tc>
          <w:tcPr>
            <w:tcW w:w="1065" w:type="dxa"/>
            <w:vAlign w:val="center"/>
          </w:tcPr>
          <w:p>
            <w:pPr>
              <w:spacing w:line="300" w:lineRule="auto"/>
              <w:jc w:val="center"/>
              <w:rPr>
                <w:rFonts w:cs="Times New Roman"/>
                <w:color w:val="auto"/>
                <w:sz w:val="15"/>
                <w:szCs w:val="15"/>
              </w:rPr>
            </w:pPr>
            <w:r>
              <w:rPr>
                <w:rFonts w:hint="eastAsia" w:cs="Times New Roman"/>
                <w:color w:val="auto"/>
                <w:sz w:val="15"/>
                <w:szCs w:val="15"/>
              </w:rPr>
              <w:t>创新项指标得分值Q</w:t>
            </w:r>
            <w:r>
              <w:rPr>
                <w:rFonts w:hint="eastAsia" w:cs="Times New Roman"/>
                <w:color w:val="auto"/>
                <w:sz w:val="15"/>
                <w:szCs w:val="15"/>
                <w:vertAlign w:val="subscript"/>
              </w:rPr>
              <w:t>6</w:t>
            </w:r>
          </w:p>
        </w:tc>
        <w:tc>
          <w:tcPr>
            <w:tcW w:w="1067" w:type="dxa"/>
            <w:vAlign w:val="center"/>
          </w:tcPr>
          <w:p>
            <w:pPr>
              <w:spacing w:line="300" w:lineRule="auto"/>
              <w:jc w:val="center"/>
              <w:rPr>
                <w:rFonts w:cs="Times New Roman"/>
                <w:color w:val="auto"/>
                <w:sz w:val="15"/>
                <w:szCs w:val="15"/>
              </w:rPr>
            </w:pPr>
            <w:r>
              <w:rPr>
                <w:rFonts w:hint="eastAsia" w:cs="Times New Roman"/>
                <w:color w:val="auto"/>
                <w:sz w:val="15"/>
                <w:szCs w:val="15"/>
              </w:rPr>
              <w:t>装配率P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064" w:type="dxa"/>
            <w:vAlign w:val="center"/>
          </w:tcPr>
          <w:p>
            <w:pPr>
              <w:spacing w:line="300" w:lineRule="auto"/>
              <w:jc w:val="center"/>
              <w:rPr>
                <w:rFonts w:cs="Times New Roman"/>
                <w:color w:val="auto"/>
                <w:sz w:val="15"/>
                <w:szCs w:val="15"/>
              </w:rPr>
            </w:pPr>
            <w:r>
              <w:rPr>
                <w:rFonts w:hint="eastAsia" w:cs="Times New Roman"/>
                <w:color w:val="auto"/>
                <w:sz w:val="15"/>
                <w:szCs w:val="15"/>
              </w:rPr>
              <w:t>设计得分值</w:t>
            </w:r>
          </w:p>
        </w:tc>
        <w:tc>
          <w:tcPr>
            <w:tcW w:w="1065" w:type="dxa"/>
            <w:vAlign w:val="center"/>
          </w:tcPr>
          <w:p>
            <w:pPr>
              <w:spacing w:line="300" w:lineRule="auto"/>
              <w:jc w:val="center"/>
              <w:rPr>
                <w:rFonts w:cs="Times New Roman"/>
                <w:color w:val="auto"/>
                <w:sz w:val="15"/>
                <w:szCs w:val="15"/>
              </w:rPr>
            </w:pPr>
          </w:p>
        </w:tc>
        <w:tc>
          <w:tcPr>
            <w:tcW w:w="1065" w:type="dxa"/>
            <w:vAlign w:val="center"/>
          </w:tcPr>
          <w:p>
            <w:pPr>
              <w:spacing w:line="300" w:lineRule="auto"/>
              <w:jc w:val="center"/>
              <w:rPr>
                <w:rFonts w:cs="Times New Roman"/>
                <w:color w:val="auto"/>
                <w:sz w:val="15"/>
                <w:szCs w:val="15"/>
              </w:rPr>
            </w:pPr>
          </w:p>
        </w:tc>
        <w:tc>
          <w:tcPr>
            <w:tcW w:w="1015" w:type="dxa"/>
            <w:vAlign w:val="center"/>
          </w:tcPr>
          <w:p>
            <w:pPr>
              <w:spacing w:line="300" w:lineRule="auto"/>
              <w:jc w:val="center"/>
              <w:rPr>
                <w:rFonts w:cs="Times New Roman"/>
                <w:color w:val="auto"/>
                <w:sz w:val="15"/>
                <w:szCs w:val="15"/>
              </w:rPr>
            </w:pPr>
          </w:p>
        </w:tc>
        <w:tc>
          <w:tcPr>
            <w:tcW w:w="1116" w:type="dxa"/>
            <w:gridSpan w:val="2"/>
            <w:vAlign w:val="center"/>
          </w:tcPr>
          <w:p>
            <w:pPr>
              <w:spacing w:line="300" w:lineRule="auto"/>
              <w:jc w:val="center"/>
              <w:rPr>
                <w:rFonts w:cs="Times New Roman"/>
                <w:color w:val="auto"/>
                <w:sz w:val="15"/>
                <w:szCs w:val="15"/>
              </w:rPr>
            </w:pPr>
          </w:p>
        </w:tc>
        <w:tc>
          <w:tcPr>
            <w:tcW w:w="1065" w:type="dxa"/>
            <w:gridSpan w:val="2"/>
            <w:vAlign w:val="center"/>
          </w:tcPr>
          <w:p>
            <w:pPr>
              <w:spacing w:line="300" w:lineRule="auto"/>
              <w:jc w:val="center"/>
              <w:rPr>
                <w:rFonts w:cs="Times New Roman"/>
                <w:color w:val="auto"/>
                <w:sz w:val="15"/>
                <w:szCs w:val="15"/>
              </w:rPr>
            </w:pPr>
          </w:p>
        </w:tc>
        <w:tc>
          <w:tcPr>
            <w:tcW w:w="1065" w:type="dxa"/>
            <w:vAlign w:val="center"/>
          </w:tcPr>
          <w:p>
            <w:pPr>
              <w:spacing w:line="300" w:lineRule="auto"/>
              <w:jc w:val="center"/>
              <w:rPr>
                <w:rFonts w:cs="Times New Roman"/>
                <w:color w:val="auto"/>
                <w:sz w:val="15"/>
                <w:szCs w:val="15"/>
              </w:rPr>
            </w:pPr>
          </w:p>
        </w:tc>
        <w:tc>
          <w:tcPr>
            <w:tcW w:w="1067"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064" w:type="dxa"/>
            <w:vAlign w:val="center"/>
          </w:tcPr>
          <w:p>
            <w:pPr>
              <w:spacing w:line="300" w:lineRule="auto"/>
              <w:jc w:val="center"/>
              <w:rPr>
                <w:rFonts w:cs="Times New Roman"/>
                <w:color w:val="auto"/>
                <w:sz w:val="15"/>
                <w:szCs w:val="15"/>
              </w:rPr>
            </w:pPr>
            <w:r>
              <w:rPr>
                <w:rFonts w:hint="eastAsia" w:cs="Times New Roman"/>
                <w:color w:val="auto"/>
                <w:sz w:val="15"/>
                <w:szCs w:val="15"/>
              </w:rPr>
              <w:t>实际得分值</w:t>
            </w:r>
          </w:p>
        </w:tc>
        <w:tc>
          <w:tcPr>
            <w:tcW w:w="1065" w:type="dxa"/>
            <w:vAlign w:val="center"/>
          </w:tcPr>
          <w:p>
            <w:pPr>
              <w:spacing w:line="300" w:lineRule="auto"/>
              <w:jc w:val="center"/>
              <w:rPr>
                <w:rFonts w:cs="Times New Roman"/>
                <w:color w:val="auto"/>
                <w:sz w:val="15"/>
                <w:szCs w:val="15"/>
              </w:rPr>
            </w:pPr>
          </w:p>
        </w:tc>
        <w:tc>
          <w:tcPr>
            <w:tcW w:w="1065" w:type="dxa"/>
            <w:vAlign w:val="center"/>
          </w:tcPr>
          <w:p>
            <w:pPr>
              <w:spacing w:line="300" w:lineRule="auto"/>
              <w:jc w:val="center"/>
              <w:rPr>
                <w:rFonts w:cs="Times New Roman"/>
                <w:color w:val="auto"/>
                <w:sz w:val="15"/>
                <w:szCs w:val="15"/>
              </w:rPr>
            </w:pPr>
          </w:p>
        </w:tc>
        <w:tc>
          <w:tcPr>
            <w:tcW w:w="1015" w:type="dxa"/>
            <w:vAlign w:val="center"/>
          </w:tcPr>
          <w:p>
            <w:pPr>
              <w:spacing w:line="300" w:lineRule="auto"/>
              <w:jc w:val="center"/>
              <w:rPr>
                <w:rFonts w:cs="Times New Roman"/>
                <w:color w:val="auto"/>
                <w:sz w:val="15"/>
                <w:szCs w:val="15"/>
              </w:rPr>
            </w:pPr>
          </w:p>
        </w:tc>
        <w:tc>
          <w:tcPr>
            <w:tcW w:w="1116" w:type="dxa"/>
            <w:gridSpan w:val="2"/>
            <w:vAlign w:val="center"/>
          </w:tcPr>
          <w:p>
            <w:pPr>
              <w:spacing w:line="300" w:lineRule="auto"/>
              <w:jc w:val="center"/>
              <w:rPr>
                <w:rFonts w:cs="Times New Roman"/>
                <w:color w:val="auto"/>
                <w:sz w:val="15"/>
                <w:szCs w:val="15"/>
              </w:rPr>
            </w:pPr>
          </w:p>
        </w:tc>
        <w:tc>
          <w:tcPr>
            <w:tcW w:w="1065" w:type="dxa"/>
            <w:gridSpan w:val="2"/>
            <w:vAlign w:val="center"/>
          </w:tcPr>
          <w:p>
            <w:pPr>
              <w:spacing w:line="300" w:lineRule="auto"/>
              <w:jc w:val="center"/>
              <w:rPr>
                <w:rFonts w:cs="Times New Roman"/>
                <w:color w:val="auto"/>
                <w:sz w:val="15"/>
                <w:szCs w:val="15"/>
              </w:rPr>
            </w:pPr>
          </w:p>
        </w:tc>
        <w:tc>
          <w:tcPr>
            <w:tcW w:w="1065" w:type="dxa"/>
            <w:vAlign w:val="center"/>
          </w:tcPr>
          <w:p>
            <w:pPr>
              <w:spacing w:line="300" w:lineRule="auto"/>
              <w:jc w:val="center"/>
              <w:rPr>
                <w:rFonts w:cs="Times New Roman"/>
                <w:color w:val="auto"/>
                <w:sz w:val="15"/>
                <w:szCs w:val="15"/>
              </w:rPr>
            </w:pPr>
          </w:p>
        </w:tc>
        <w:tc>
          <w:tcPr>
            <w:tcW w:w="1067" w:type="dxa"/>
            <w:vAlign w:val="center"/>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8522" w:type="dxa"/>
            <w:gridSpan w:val="10"/>
          </w:tcPr>
          <w:p>
            <w:pPr>
              <w:spacing w:line="300" w:lineRule="auto"/>
              <w:rPr>
                <w:rFonts w:cs="Times New Roman"/>
                <w:color w:val="auto"/>
                <w:sz w:val="15"/>
                <w:szCs w:val="15"/>
              </w:rPr>
            </w:pPr>
            <w:r>
              <w:rPr>
                <w:rFonts w:hint="eastAsia" w:cs="Times New Roman"/>
                <w:color w:val="auto"/>
                <w:sz w:val="15"/>
                <w:szCs w:val="15"/>
              </w:rPr>
              <w:t>注：</w:t>
            </w:r>
            <w:r>
              <w:rPr>
                <w:rFonts w:hint="eastAsia" w:cs="Times New Roman"/>
                <w:color w:val="auto"/>
                <w:position w:val="-24"/>
                <w:sz w:val="6"/>
                <w:szCs w:val="6"/>
              </w:rPr>
              <w:object>
                <v:shape id="_x0000_i1025" o:spt="75" type="#_x0000_t75" style="height:27.75pt;width:157.4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spacing w:line="300" w:lineRule="auto"/>
              <w:jc w:val="center"/>
              <w:rPr>
                <w:rFonts w:cs="Times New Roman"/>
                <w:color w:val="auto"/>
                <w:sz w:val="15"/>
                <w:szCs w:val="15"/>
              </w:rPr>
            </w:pPr>
            <w:r>
              <w:rPr>
                <w:rFonts w:hint="eastAsia" w:cs="Times New Roman"/>
                <w:color w:val="auto"/>
                <w:sz w:val="15"/>
                <w:szCs w:val="15"/>
              </w:rPr>
              <w:t>设计装配率评级</w:t>
            </w:r>
          </w:p>
        </w:tc>
        <w:tc>
          <w:tcPr>
            <w:tcW w:w="2131" w:type="dxa"/>
            <w:gridSpan w:val="3"/>
          </w:tcPr>
          <w:p>
            <w:pPr>
              <w:spacing w:line="300" w:lineRule="auto"/>
              <w:jc w:val="center"/>
              <w:rPr>
                <w:rFonts w:cs="Times New Roman"/>
                <w:color w:val="auto"/>
                <w:sz w:val="15"/>
                <w:szCs w:val="15"/>
              </w:rPr>
            </w:pPr>
          </w:p>
        </w:tc>
        <w:tc>
          <w:tcPr>
            <w:tcW w:w="2130" w:type="dxa"/>
            <w:gridSpan w:val="3"/>
          </w:tcPr>
          <w:p>
            <w:pPr>
              <w:spacing w:line="300" w:lineRule="auto"/>
              <w:jc w:val="center"/>
              <w:rPr>
                <w:rFonts w:cs="Times New Roman"/>
                <w:color w:val="auto"/>
                <w:sz w:val="15"/>
                <w:szCs w:val="15"/>
              </w:rPr>
            </w:pPr>
            <w:r>
              <w:rPr>
                <w:rFonts w:hint="eastAsia" w:cs="Times New Roman"/>
                <w:color w:val="auto"/>
                <w:sz w:val="15"/>
                <w:szCs w:val="15"/>
              </w:rPr>
              <w:t>装配率评级</w:t>
            </w:r>
          </w:p>
        </w:tc>
        <w:tc>
          <w:tcPr>
            <w:tcW w:w="2132" w:type="dxa"/>
            <w:gridSpan w:val="2"/>
          </w:tcPr>
          <w:p>
            <w:pPr>
              <w:spacing w:line="300" w:lineRule="auto"/>
              <w:jc w:val="center"/>
              <w:rPr>
                <w:rFonts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5"/>
          </w:tcPr>
          <w:p>
            <w:pPr>
              <w:spacing w:line="300" w:lineRule="auto"/>
              <w:ind w:firstLine="150" w:firstLineChars="100"/>
              <w:jc w:val="center"/>
              <w:rPr>
                <w:rFonts w:cs="Times New Roman"/>
                <w:color w:val="auto"/>
                <w:sz w:val="15"/>
                <w:szCs w:val="15"/>
              </w:rPr>
            </w:pPr>
            <w:r>
              <w:rPr>
                <w:rFonts w:cs="Times New Roman"/>
                <w:color w:val="auto"/>
                <w:sz w:val="15"/>
                <w:szCs w:val="15"/>
              </w:rPr>
              <w:t>验收结论</w:t>
            </w:r>
          </w:p>
        </w:tc>
        <w:tc>
          <w:tcPr>
            <w:tcW w:w="4262" w:type="dxa"/>
            <w:gridSpan w:val="5"/>
          </w:tcPr>
          <w:p>
            <w:pPr>
              <w:spacing w:line="300" w:lineRule="auto"/>
              <w:jc w:val="center"/>
              <w:rPr>
                <w:rFonts w:cs="Times New Roman"/>
                <w:color w:val="auto"/>
                <w:sz w:val="15"/>
                <w:szCs w:val="15"/>
              </w:rPr>
            </w:pPr>
            <w:r>
              <w:rPr>
                <w:rFonts w:cs="Times New Roman"/>
                <w:color w:val="auto"/>
                <w:sz w:val="15"/>
                <w:szCs w:val="15"/>
              </w:rPr>
              <w:t>□</w:t>
            </w:r>
            <w:r>
              <w:rPr>
                <w:rFonts w:hint="eastAsia" w:cs="Times New Roman"/>
                <w:color w:val="auto"/>
                <w:sz w:val="15"/>
                <w:szCs w:val="15"/>
              </w:rPr>
              <w:t xml:space="preserve"> 合格           </w:t>
            </w:r>
            <w:r>
              <w:rPr>
                <w:rFonts w:cs="Times New Roman"/>
                <w:color w:val="auto"/>
                <w:sz w:val="15"/>
                <w:szCs w:val="15"/>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spacing w:line="300" w:lineRule="auto"/>
              <w:rPr>
                <w:rFonts w:cs="Times New Roman"/>
                <w:color w:val="auto"/>
                <w:sz w:val="15"/>
                <w:szCs w:val="15"/>
              </w:rPr>
            </w:pPr>
            <w:r>
              <w:rPr>
                <w:rFonts w:hint="eastAsia" w:cs="Times New Roman"/>
                <w:color w:val="auto"/>
                <w:sz w:val="15"/>
                <w:szCs w:val="15"/>
              </w:rPr>
              <w:t>建设单位（签字盖章）：                                  施工单位：（签字盖章）</w:t>
            </w:r>
          </w:p>
          <w:p>
            <w:pPr>
              <w:spacing w:before="312" w:after="312" w:line="300" w:lineRule="auto"/>
              <w:ind w:firstLine="1125" w:firstLineChars="750"/>
              <w:rPr>
                <w:rFonts w:ascii="黑体" w:eastAsia="黑体" w:cs="Times New Roman"/>
                <w:color w:val="auto"/>
                <w:sz w:val="15"/>
                <w:szCs w:val="15"/>
              </w:rPr>
            </w:pPr>
            <w:r>
              <w:rPr>
                <w:rFonts w:hint="eastAsia" w:cs="Times New Roman"/>
                <w:color w:val="auto"/>
                <w:sz w:val="15"/>
                <w:szCs w:val="15"/>
              </w:rPr>
              <w:t>年    月    日                                              年    月    日</w:t>
            </w:r>
          </w:p>
          <w:p>
            <w:pPr>
              <w:spacing w:line="300" w:lineRule="auto"/>
              <w:rPr>
                <w:rFonts w:cs="Times New Roman"/>
                <w:color w:val="auto"/>
                <w:sz w:val="15"/>
                <w:szCs w:val="15"/>
              </w:rPr>
            </w:pPr>
            <w:r>
              <w:rPr>
                <w:rFonts w:hint="eastAsia" w:cs="Times New Roman"/>
                <w:color w:val="auto"/>
                <w:sz w:val="15"/>
                <w:szCs w:val="15"/>
              </w:rPr>
              <w:t>监理单位（签字盖章）：                                  设计单位：（签字盖章）</w:t>
            </w:r>
          </w:p>
          <w:p>
            <w:pPr>
              <w:spacing w:before="312" w:after="312" w:line="300" w:lineRule="auto"/>
              <w:ind w:firstLine="1125" w:firstLineChars="750"/>
              <w:rPr>
                <w:rFonts w:ascii="黑体" w:eastAsia="黑体" w:cs="Times New Roman"/>
                <w:color w:val="auto"/>
                <w:sz w:val="15"/>
                <w:szCs w:val="15"/>
              </w:rPr>
            </w:pPr>
            <w:r>
              <w:rPr>
                <w:rFonts w:hint="eastAsia" w:cs="Times New Roman"/>
                <w:color w:val="auto"/>
                <w:sz w:val="15"/>
                <w:szCs w:val="15"/>
              </w:rPr>
              <w:t>年    月    日                                              年    月    日</w:t>
            </w:r>
          </w:p>
        </w:tc>
      </w:tr>
    </w:tbl>
    <w:p>
      <w:pPr>
        <w:spacing w:line="300" w:lineRule="auto"/>
        <w:rPr>
          <w:rFonts w:cs="Times New Roman"/>
          <w:color w:val="auto"/>
          <w:sz w:val="24"/>
          <w:szCs w:val="24"/>
        </w:rPr>
      </w:pPr>
      <w:r>
        <w:rPr>
          <w:rFonts w:hint="eastAsia" w:cs="Times New Roman"/>
          <w:color w:val="auto"/>
          <w:sz w:val="24"/>
          <w:szCs w:val="24"/>
        </w:rPr>
        <w:br w:type="page"/>
      </w:r>
    </w:p>
    <w:bookmarkEnd w:id="185"/>
    <w:bookmarkEnd w:id="186"/>
    <w:bookmarkEnd w:id="187"/>
    <w:p>
      <w:pPr>
        <w:pStyle w:val="77"/>
        <w:spacing w:line="300" w:lineRule="auto"/>
        <w:ind w:firstLine="0" w:firstLineChars="0"/>
        <w:rPr>
          <w:rFonts w:ascii="Times New Roman" w:hAnsi="Times New Roman"/>
          <w:color w:val="auto"/>
          <w:sz w:val="24"/>
          <w:szCs w:val="24"/>
        </w:rPr>
        <w:sectPr>
          <w:footerReference r:id="rId8" w:type="default"/>
          <w:pgSz w:w="11906" w:h="16838"/>
          <w:pgMar w:top="1440" w:right="1800" w:bottom="1440" w:left="1800" w:header="851" w:footer="992" w:gutter="0"/>
          <w:pgNumType w:start="1"/>
          <w:cols w:space="425" w:num="1"/>
          <w:docGrid w:type="lines" w:linePitch="312" w:charSpace="0"/>
        </w:sectPr>
      </w:pPr>
    </w:p>
    <w:p>
      <w:pPr>
        <w:pStyle w:val="3"/>
        <w:numPr>
          <w:ilvl w:val="0"/>
          <w:numId w:val="0"/>
        </w:numPr>
        <w:spacing w:before="312" w:after="312"/>
        <w:ind w:left="432"/>
        <w:jc w:val="center"/>
        <w:rPr>
          <w:color w:val="auto"/>
        </w:rPr>
      </w:pPr>
      <w:bookmarkStart w:id="189" w:name="_Toc147952072"/>
      <w:r>
        <w:rPr>
          <w:color w:val="auto"/>
        </w:rPr>
        <w:t>附录A（资料性）质量验收记录表</w:t>
      </w:r>
      <w:bookmarkEnd w:id="189"/>
    </w:p>
    <w:p>
      <w:pPr>
        <w:pStyle w:val="77"/>
        <w:spacing w:after="156" w:afterLines="50" w:line="300" w:lineRule="auto"/>
        <w:ind w:firstLine="0" w:firstLineChars="0"/>
        <w:rPr>
          <w:rFonts w:ascii="Times New Roman" w:hAnsi="Times New Roman"/>
          <w:color w:val="auto"/>
          <w:sz w:val="24"/>
          <w:szCs w:val="24"/>
        </w:rPr>
      </w:pPr>
      <w:r>
        <w:rPr>
          <w:rFonts w:ascii="Times New Roman" w:hAnsi="Times New Roman"/>
          <w:color w:val="auto"/>
          <w:sz w:val="24"/>
          <w:szCs w:val="24"/>
        </w:rPr>
        <w:t>A.1质量证明文件及标识检验批质量验收记录表</w:t>
      </w:r>
    </w:p>
    <w:tbl>
      <w:tblPr>
        <w:tblStyle w:val="32"/>
        <w:tblW w:w="501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583"/>
        <w:gridCol w:w="285"/>
        <w:gridCol w:w="1274"/>
        <w:gridCol w:w="128"/>
        <w:gridCol w:w="1423"/>
        <w:gridCol w:w="1425"/>
        <w:gridCol w:w="1423"/>
        <w:gridCol w:w="248"/>
        <w:gridCol w:w="11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5"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单位（子单位）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821"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833"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分部（子分部）</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834" w:type="pct"/>
            <w:vAlign w:val="center"/>
          </w:tcPr>
          <w:p>
            <w:pPr>
              <w:pStyle w:val="117"/>
              <w:kinsoku w:val="0"/>
              <w:overflowPunct w:val="0"/>
              <w:spacing w:line="300" w:lineRule="auto"/>
              <w:jc w:val="center"/>
              <w:rPr>
                <w:rFonts w:ascii="Times New Roman" w:cs="Times New Roman"/>
                <w:color w:val="auto"/>
                <w:sz w:val="18"/>
                <w:szCs w:val="18"/>
              </w:rPr>
            </w:pPr>
          </w:p>
        </w:tc>
        <w:tc>
          <w:tcPr>
            <w:tcW w:w="833"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分项工程名称</w:t>
            </w: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45"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tc>
        <w:tc>
          <w:tcPr>
            <w:tcW w:w="821"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833" w:type="pct"/>
            <w:vAlign w:val="center"/>
          </w:tcPr>
          <w:p>
            <w:pPr>
              <w:pStyle w:val="117"/>
              <w:kinsoku w:val="0"/>
              <w:overflowPunct w:val="0"/>
              <w:spacing w:before="71" w:line="300" w:lineRule="auto"/>
              <w:ind w:left="178" w:right="161"/>
              <w:jc w:val="center"/>
              <w:rPr>
                <w:rFonts w:ascii="Times New Roman" w:cs="Times New Roman"/>
                <w:color w:val="auto"/>
                <w:sz w:val="18"/>
                <w:szCs w:val="18"/>
              </w:rPr>
            </w:pPr>
            <w:r>
              <w:rPr>
                <w:rFonts w:ascii="Times New Roman" w:cs="Times New Roman"/>
                <w:color w:val="auto"/>
                <w:sz w:val="18"/>
                <w:szCs w:val="18"/>
              </w:rPr>
              <w:t>项目负责人</w:t>
            </w:r>
          </w:p>
        </w:tc>
        <w:tc>
          <w:tcPr>
            <w:tcW w:w="834" w:type="pct"/>
            <w:vAlign w:val="center"/>
          </w:tcPr>
          <w:p>
            <w:pPr>
              <w:pStyle w:val="117"/>
              <w:kinsoku w:val="0"/>
              <w:overflowPunct w:val="0"/>
              <w:spacing w:line="300" w:lineRule="auto"/>
              <w:jc w:val="center"/>
              <w:rPr>
                <w:rFonts w:ascii="Times New Roman" w:cs="Times New Roman"/>
                <w:color w:val="auto"/>
                <w:sz w:val="18"/>
                <w:szCs w:val="18"/>
              </w:rPr>
            </w:pPr>
          </w:p>
        </w:tc>
        <w:tc>
          <w:tcPr>
            <w:tcW w:w="833" w:type="pct"/>
            <w:vAlign w:val="center"/>
          </w:tcPr>
          <w:p>
            <w:pPr>
              <w:pStyle w:val="117"/>
              <w:kinsoku w:val="0"/>
              <w:overflowPunct w:val="0"/>
              <w:spacing w:before="71" w:line="300" w:lineRule="auto"/>
              <w:ind w:left="133" w:right="116"/>
              <w:jc w:val="center"/>
              <w:rPr>
                <w:rFonts w:ascii="Times New Roman" w:cs="Times New Roman"/>
                <w:color w:val="auto"/>
                <w:sz w:val="18"/>
                <w:szCs w:val="18"/>
              </w:rPr>
            </w:pPr>
            <w:r>
              <w:rPr>
                <w:rFonts w:ascii="Times New Roman" w:cs="Times New Roman"/>
                <w:color w:val="auto"/>
                <w:sz w:val="18"/>
                <w:szCs w:val="18"/>
              </w:rPr>
              <w:t>检验批容量</w:t>
            </w: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5"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构件生产单位</w:t>
            </w:r>
          </w:p>
        </w:tc>
        <w:tc>
          <w:tcPr>
            <w:tcW w:w="821"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833" w:type="pct"/>
            <w:vAlign w:val="center"/>
          </w:tcPr>
          <w:p>
            <w:pPr>
              <w:pStyle w:val="117"/>
              <w:kinsoku w:val="0"/>
              <w:overflowPunct w:val="0"/>
              <w:spacing w:line="300" w:lineRule="auto"/>
              <w:ind w:right="105" w:hanging="75"/>
              <w:jc w:val="center"/>
              <w:rPr>
                <w:rFonts w:ascii="Times New Roman" w:cs="Times New Roman"/>
                <w:color w:val="auto"/>
                <w:sz w:val="18"/>
                <w:szCs w:val="18"/>
              </w:rPr>
            </w:pPr>
            <w:r>
              <w:rPr>
                <w:rFonts w:ascii="Times New Roman" w:cs="Times New Roman"/>
                <w:color w:val="auto"/>
                <w:sz w:val="18"/>
                <w:szCs w:val="18"/>
              </w:rPr>
              <w:t>构件生产单位</w:t>
            </w:r>
          </w:p>
          <w:p>
            <w:pPr>
              <w:pStyle w:val="117"/>
              <w:kinsoku w:val="0"/>
              <w:overflowPunct w:val="0"/>
              <w:spacing w:line="300" w:lineRule="auto"/>
              <w:ind w:right="105" w:hanging="75"/>
              <w:jc w:val="center"/>
              <w:rPr>
                <w:rFonts w:ascii="Times New Roman" w:cs="Times New Roman"/>
                <w:color w:val="auto"/>
                <w:sz w:val="18"/>
                <w:szCs w:val="18"/>
              </w:rPr>
            </w:pPr>
            <w:r>
              <w:rPr>
                <w:rFonts w:ascii="Times New Roman" w:cs="Times New Roman"/>
                <w:color w:val="auto"/>
                <w:sz w:val="18"/>
                <w:szCs w:val="18"/>
              </w:rPr>
              <w:t>项目负责人</w:t>
            </w:r>
          </w:p>
        </w:tc>
        <w:tc>
          <w:tcPr>
            <w:tcW w:w="834" w:type="pct"/>
            <w:vAlign w:val="center"/>
          </w:tcPr>
          <w:p>
            <w:pPr>
              <w:pStyle w:val="117"/>
              <w:kinsoku w:val="0"/>
              <w:overflowPunct w:val="0"/>
              <w:spacing w:line="300" w:lineRule="auto"/>
              <w:jc w:val="center"/>
              <w:rPr>
                <w:rFonts w:ascii="Times New Roman" w:cs="Times New Roman"/>
                <w:color w:val="auto"/>
                <w:sz w:val="18"/>
                <w:szCs w:val="18"/>
              </w:rPr>
            </w:pPr>
          </w:p>
        </w:tc>
        <w:tc>
          <w:tcPr>
            <w:tcW w:w="833" w:type="pct"/>
            <w:vAlign w:val="center"/>
          </w:tcPr>
          <w:p>
            <w:pPr>
              <w:pStyle w:val="117"/>
              <w:kinsoku w:val="0"/>
              <w:overflowPunct w:val="0"/>
              <w:spacing w:line="300" w:lineRule="auto"/>
              <w:ind w:right="116"/>
              <w:jc w:val="center"/>
              <w:rPr>
                <w:rFonts w:ascii="Times New Roman" w:cs="Times New Roman"/>
                <w:color w:val="auto"/>
                <w:sz w:val="18"/>
                <w:szCs w:val="18"/>
              </w:rPr>
            </w:pPr>
            <w:r>
              <w:rPr>
                <w:rFonts w:ascii="Times New Roman" w:cs="Times New Roman"/>
                <w:color w:val="auto"/>
                <w:sz w:val="18"/>
                <w:szCs w:val="18"/>
              </w:rPr>
              <w:t>检验批部位</w:t>
            </w: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5"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施工依据</w:t>
            </w:r>
          </w:p>
        </w:tc>
        <w:tc>
          <w:tcPr>
            <w:tcW w:w="1654"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834"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验收依据</w:t>
            </w:r>
          </w:p>
        </w:tc>
        <w:tc>
          <w:tcPr>
            <w:tcW w:w="1667" w:type="pct"/>
            <w:gridSpan w:val="3"/>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91"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验收项目</w:t>
            </w:r>
          </w:p>
        </w:tc>
        <w:tc>
          <w:tcPr>
            <w:tcW w:w="908"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设计要求</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及规范规定</w:t>
            </w:r>
          </w:p>
        </w:tc>
        <w:tc>
          <w:tcPr>
            <w:tcW w:w="834"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最小/实际</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抽样数量</w:t>
            </w:r>
          </w:p>
        </w:tc>
        <w:tc>
          <w:tcPr>
            <w:tcW w:w="978"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检查记录</w:t>
            </w:r>
          </w:p>
        </w:tc>
        <w:tc>
          <w:tcPr>
            <w:tcW w:w="689"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7"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主控</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w:t>
            </w:r>
          </w:p>
        </w:tc>
        <w:tc>
          <w:tcPr>
            <w:tcW w:w="341"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913" w:type="pct"/>
            <w:gridSpan w:val="2"/>
            <w:vAlign w:val="center"/>
          </w:tcPr>
          <w:p>
            <w:pPr>
              <w:pStyle w:val="117"/>
              <w:kinsoku w:val="0"/>
              <w:overflowPunct w:val="0"/>
              <w:spacing w:before="1" w:line="300" w:lineRule="auto"/>
              <w:jc w:val="center"/>
              <w:rPr>
                <w:rFonts w:ascii="Times New Roman" w:cs="Times New Roman"/>
                <w:color w:val="auto"/>
                <w:sz w:val="18"/>
                <w:szCs w:val="18"/>
              </w:rPr>
            </w:pPr>
            <w:r>
              <w:rPr>
                <w:rFonts w:ascii="Times New Roman" w:cs="Times New Roman"/>
                <w:color w:val="auto"/>
                <w:sz w:val="18"/>
                <w:szCs w:val="18"/>
              </w:rPr>
              <w:t>质量证明文件</w:t>
            </w:r>
          </w:p>
        </w:tc>
        <w:tc>
          <w:tcPr>
            <w:tcW w:w="908" w:type="pct"/>
            <w:gridSpan w:val="2"/>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按照本指南4.8条执行</w:t>
            </w:r>
          </w:p>
        </w:tc>
        <w:tc>
          <w:tcPr>
            <w:tcW w:w="834" w:type="pct"/>
            <w:vAlign w:val="center"/>
          </w:tcPr>
          <w:p>
            <w:pPr>
              <w:pStyle w:val="117"/>
              <w:kinsoku w:val="0"/>
              <w:overflowPunct w:val="0"/>
              <w:spacing w:line="300" w:lineRule="auto"/>
              <w:jc w:val="center"/>
              <w:rPr>
                <w:rFonts w:ascii="Times New Roman" w:cs="Times New Roman"/>
                <w:color w:val="auto"/>
                <w:sz w:val="18"/>
                <w:szCs w:val="18"/>
              </w:rPr>
            </w:pPr>
          </w:p>
        </w:tc>
        <w:tc>
          <w:tcPr>
            <w:tcW w:w="978"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89"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7"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一般</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w:t>
            </w:r>
          </w:p>
        </w:tc>
        <w:tc>
          <w:tcPr>
            <w:tcW w:w="341"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913"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标识</w:t>
            </w:r>
          </w:p>
        </w:tc>
        <w:tc>
          <w:tcPr>
            <w:tcW w:w="908" w:type="pct"/>
            <w:gridSpan w:val="2"/>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按照本指南4.8条执行</w:t>
            </w:r>
          </w:p>
        </w:tc>
        <w:tc>
          <w:tcPr>
            <w:tcW w:w="834" w:type="pct"/>
            <w:vAlign w:val="center"/>
          </w:tcPr>
          <w:p>
            <w:pPr>
              <w:pStyle w:val="117"/>
              <w:kinsoku w:val="0"/>
              <w:overflowPunct w:val="0"/>
              <w:spacing w:line="300" w:lineRule="auto"/>
              <w:jc w:val="center"/>
              <w:rPr>
                <w:rFonts w:ascii="Times New Roman" w:cs="Times New Roman"/>
                <w:color w:val="auto"/>
                <w:sz w:val="18"/>
                <w:szCs w:val="18"/>
              </w:rPr>
            </w:pPr>
          </w:p>
        </w:tc>
        <w:tc>
          <w:tcPr>
            <w:tcW w:w="978"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89"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91"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c>
          <w:tcPr>
            <w:tcW w:w="3409" w:type="pct"/>
            <w:gridSpan w:val="6"/>
            <w:vAlign w:val="center"/>
          </w:tcPr>
          <w:p>
            <w:pPr>
              <w:pStyle w:val="117"/>
              <w:kinsoku w:val="0"/>
              <w:overflowPunct w:val="0"/>
              <w:spacing w:line="300" w:lineRule="auto"/>
              <w:ind w:left="2213" w:right="455"/>
              <w:jc w:val="center"/>
              <w:rPr>
                <w:rFonts w:ascii="Times New Roman" w:cs="Times New Roman"/>
                <w:color w:val="auto"/>
                <w:sz w:val="18"/>
                <w:szCs w:val="18"/>
              </w:rPr>
            </w:pPr>
          </w:p>
          <w:p>
            <w:pPr>
              <w:pStyle w:val="117"/>
              <w:kinsoku w:val="0"/>
              <w:overflowPunct w:val="0"/>
              <w:spacing w:line="300" w:lineRule="auto"/>
              <w:ind w:left="2213" w:right="455"/>
              <w:jc w:val="center"/>
              <w:rPr>
                <w:rFonts w:ascii="Times New Roman" w:cs="Times New Roman"/>
                <w:color w:val="auto"/>
                <w:sz w:val="18"/>
                <w:szCs w:val="18"/>
              </w:rPr>
            </w:pPr>
          </w:p>
          <w:p>
            <w:pPr>
              <w:pStyle w:val="117"/>
              <w:kinsoku w:val="0"/>
              <w:overflowPunct w:val="0"/>
              <w:spacing w:line="300" w:lineRule="auto"/>
              <w:ind w:right="455" w:firstLine="1440" w:firstLineChars="800"/>
              <w:jc w:val="center"/>
              <w:rPr>
                <w:rFonts w:ascii="Times New Roman" w:cs="Times New Roman"/>
                <w:color w:val="auto"/>
                <w:sz w:val="18"/>
                <w:szCs w:val="18"/>
              </w:rPr>
            </w:pPr>
            <w:r>
              <w:rPr>
                <w:rFonts w:ascii="Times New Roman" w:cs="Times New Roman"/>
                <w:color w:val="auto"/>
                <w:sz w:val="18"/>
                <w:szCs w:val="18"/>
              </w:rPr>
              <w:t>专业工长：          项目专业质量检查员：</w:t>
            </w:r>
          </w:p>
          <w:p>
            <w:pPr>
              <w:pStyle w:val="117"/>
              <w:kinsoku w:val="0"/>
              <w:overflowPunct w:val="0"/>
              <w:spacing w:line="300" w:lineRule="auto"/>
              <w:ind w:right="455" w:firstLine="1440" w:firstLineChars="800"/>
              <w:jc w:val="center"/>
              <w:rPr>
                <w:rFonts w:ascii="Times New Roman" w:cs="Times New Roman"/>
                <w:color w:val="auto"/>
                <w:w w:val="95"/>
                <w:sz w:val="18"/>
                <w:szCs w:val="18"/>
              </w:rPr>
            </w:pPr>
            <w:r>
              <w:rPr>
                <w:rFonts w:ascii="Times New Roman" w:cs="Times New Roman"/>
                <w:color w:val="auto"/>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91"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监理</w:t>
            </w:r>
            <w:r>
              <w:rPr>
                <w:rFonts w:hint="eastAsia" w:ascii="Times New Roman" w:cs="Times New Roman"/>
                <w:color w:val="auto"/>
                <w:sz w:val="18"/>
                <w:szCs w:val="18"/>
              </w:rPr>
              <w:t>（建设）</w:t>
            </w:r>
            <w:r>
              <w:rPr>
                <w:rFonts w:ascii="Times New Roman" w:cs="Times New Roman"/>
                <w:color w:val="auto"/>
                <w:sz w:val="18"/>
                <w:szCs w:val="18"/>
              </w:rPr>
              <w:t>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验收结论</w:t>
            </w:r>
          </w:p>
        </w:tc>
        <w:tc>
          <w:tcPr>
            <w:tcW w:w="3409" w:type="pct"/>
            <w:gridSpan w:val="6"/>
            <w:vAlign w:val="center"/>
          </w:tcPr>
          <w:p>
            <w:pPr>
              <w:pStyle w:val="117"/>
              <w:kinsoku w:val="0"/>
              <w:overflowPunct w:val="0"/>
              <w:spacing w:before="126" w:line="300" w:lineRule="auto"/>
              <w:ind w:left="2213"/>
              <w:jc w:val="center"/>
              <w:rPr>
                <w:rFonts w:ascii="Times New Roman" w:cs="Times New Roman"/>
                <w:color w:val="auto"/>
                <w:sz w:val="18"/>
                <w:szCs w:val="18"/>
              </w:rPr>
            </w:pPr>
          </w:p>
          <w:p>
            <w:pPr>
              <w:pStyle w:val="117"/>
              <w:kinsoku w:val="0"/>
              <w:overflowPunct w:val="0"/>
              <w:spacing w:before="126" w:line="300" w:lineRule="auto"/>
              <w:ind w:left="2213"/>
              <w:jc w:val="center"/>
              <w:rPr>
                <w:rFonts w:ascii="Times New Roman" w:cs="Times New Roman"/>
                <w:color w:val="auto"/>
                <w:sz w:val="18"/>
                <w:szCs w:val="18"/>
              </w:rPr>
            </w:pPr>
          </w:p>
          <w:p>
            <w:pPr>
              <w:pStyle w:val="117"/>
              <w:kinsoku w:val="0"/>
              <w:overflowPunct w:val="0"/>
              <w:spacing w:before="240" w:after="240" w:line="300" w:lineRule="auto"/>
              <w:jc w:val="center"/>
              <w:rPr>
                <w:rFonts w:ascii="Times New Roman" w:eastAsia="黑体" w:cs="Times New Roman"/>
                <w:color w:val="auto"/>
                <w:sz w:val="18"/>
                <w:szCs w:val="18"/>
              </w:rPr>
            </w:pPr>
            <w:r>
              <w:rPr>
                <w:rFonts w:ascii="Times New Roman" w:cs="Times New Roman"/>
                <w:color w:val="auto"/>
                <w:sz w:val="18"/>
                <w:szCs w:val="18"/>
              </w:rPr>
              <w:t>专业监理工程师</w:t>
            </w:r>
            <w:r>
              <w:rPr>
                <w:rFonts w:hint="eastAsia" w:ascii="Times New Roman" w:cs="Times New Roman"/>
                <w:color w:val="auto"/>
                <w:sz w:val="18"/>
                <w:szCs w:val="18"/>
              </w:rPr>
              <w:t>（建设单位项目负责人）</w:t>
            </w:r>
            <w:r>
              <w:rPr>
                <w:rFonts w:ascii="Times New Roman" w:cs="Times New Roman"/>
                <w:color w:val="auto"/>
                <w:sz w:val="18"/>
                <w:szCs w:val="18"/>
              </w:rPr>
              <w:t>：</w:t>
            </w:r>
          </w:p>
          <w:p>
            <w:pPr>
              <w:pStyle w:val="117"/>
              <w:kinsoku w:val="0"/>
              <w:overflowPunct w:val="0"/>
              <w:spacing w:line="300" w:lineRule="auto"/>
              <w:ind w:right="455" w:firstLine="1440" w:firstLineChars="800"/>
              <w:jc w:val="center"/>
              <w:rPr>
                <w:rFonts w:ascii="Times New Roman" w:cs="Times New Roman"/>
                <w:color w:val="auto"/>
                <w:w w:val="95"/>
                <w:sz w:val="18"/>
                <w:szCs w:val="18"/>
              </w:rPr>
            </w:pPr>
            <w:r>
              <w:rPr>
                <w:rFonts w:ascii="Times New Roman" w:cs="Times New Roman"/>
                <w:color w:val="auto"/>
                <w:sz w:val="18"/>
                <w:szCs w:val="18"/>
              </w:rPr>
              <w:t>年   月   日</w:t>
            </w:r>
          </w:p>
        </w:tc>
      </w:tr>
    </w:tbl>
    <w:p>
      <w:pPr>
        <w:widowControl/>
        <w:spacing w:line="300" w:lineRule="auto"/>
        <w:jc w:val="left"/>
        <w:rPr>
          <w:rFonts w:cs="Times New Roman"/>
          <w:color w:val="auto"/>
          <w:kern w:val="0"/>
          <w:szCs w:val="20"/>
        </w:rPr>
      </w:pPr>
      <w:r>
        <w:rPr>
          <w:color w:val="auto"/>
        </w:rPr>
        <w:br w:type="page"/>
      </w:r>
    </w:p>
    <w:p>
      <w:pPr>
        <w:pStyle w:val="77"/>
        <w:spacing w:after="156" w:afterLines="50" w:line="300" w:lineRule="auto"/>
        <w:ind w:firstLine="0" w:firstLineChars="0"/>
        <w:rPr>
          <w:rFonts w:ascii="Times New Roman" w:hAnsi="Times New Roman"/>
          <w:color w:val="auto"/>
          <w:sz w:val="24"/>
          <w:szCs w:val="24"/>
        </w:rPr>
      </w:pPr>
      <w:r>
        <w:rPr>
          <w:rFonts w:ascii="Times New Roman" w:hAnsi="Times New Roman"/>
          <w:color w:val="auto"/>
          <w:sz w:val="24"/>
          <w:szCs w:val="24"/>
        </w:rPr>
        <w:t>A.2构件性能检验批质量验收记录表</w:t>
      </w:r>
    </w:p>
    <w:tbl>
      <w:tblPr>
        <w:tblStyle w:val="32"/>
        <w:tblW w:w="501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355"/>
        <w:gridCol w:w="564"/>
        <w:gridCol w:w="337"/>
        <w:gridCol w:w="1035"/>
        <w:gridCol w:w="53"/>
        <w:gridCol w:w="1425"/>
        <w:gridCol w:w="1503"/>
        <w:gridCol w:w="1343"/>
        <w:gridCol w:w="270"/>
        <w:gridCol w:w="11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34"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单位（子单位）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834"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834"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分部（子分部）</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880" w:type="pct"/>
            <w:vAlign w:val="center"/>
          </w:tcPr>
          <w:p>
            <w:pPr>
              <w:pStyle w:val="117"/>
              <w:kinsoku w:val="0"/>
              <w:overflowPunct w:val="0"/>
              <w:spacing w:line="300" w:lineRule="auto"/>
              <w:jc w:val="center"/>
              <w:rPr>
                <w:rFonts w:ascii="Times New Roman" w:cs="Times New Roman"/>
                <w:color w:val="auto"/>
                <w:sz w:val="18"/>
                <w:szCs w:val="18"/>
              </w:rPr>
            </w:pPr>
          </w:p>
        </w:tc>
        <w:tc>
          <w:tcPr>
            <w:tcW w:w="786"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分项工程名称</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34"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tc>
        <w:tc>
          <w:tcPr>
            <w:tcW w:w="834"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834"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880" w:type="pct"/>
            <w:vAlign w:val="center"/>
          </w:tcPr>
          <w:p>
            <w:pPr>
              <w:pStyle w:val="117"/>
              <w:kinsoku w:val="0"/>
              <w:overflowPunct w:val="0"/>
              <w:spacing w:line="300" w:lineRule="auto"/>
              <w:jc w:val="center"/>
              <w:rPr>
                <w:rFonts w:ascii="Times New Roman" w:cs="Times New Roman"/>
                <w:color w:val="auto"/>
                <w:sz w:val="18"/>
                <w:szCs w:val="18"/>
              </w:rPr>
            </w:pPr>
          </w:p>
        </w:tc>
        <w:tc>
          <w:tcPr>
            <w:tcW w:w="786"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检验批容量</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34"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构件生产单位</w:t>
            </w:r>
          </w:p>
        </w:tc>
        <w:tc>
          <w:tcPr>
            <w:tcW w:w="834"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834"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880" w:type="pct"/>
            <w:vAlign w:val="center"/>
          </w:tcPr>
          <w:p>
            <w:pPr>
              <w:pStyle w:val="117"/>
              <w:kinsoku w:val="0"/>
              <w:overflowPunct w:val="0"/>
              <w:spacing w:line="300" w:lineRule="auto"/>
              <w:jc w:val="center"/>
              <w:rPr>
                <w:rFonts w:ascii="Times New Roman" w:cs="Times New Roman"/>
                <w:color w:val="auto"/>
                <w:sz w:val="18"/>
                <w:szCs w:val="18"/>
              </w:rPr>
            </w:pPr>
          </w:p>
        </w:tc>
        <w:tc>
          <w:tcPr>
            <w:tcW w:w="786"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检验批部位</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4"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施工依据</w:t>
            </w:r>
          </w:p>
        </w:tc>
        <w:tc>
          <w:tcPr>
            <w:tcW w:w="1668" w:type="pct"/>
            <w:gridSpan w:val="4"/>
            <w:vAlign w:val="center"/>
          </w:tcPr>
          <w:p>
            <w:pPr>
              <w:pStyle w:val="117"/>
              <w:kinsoku w:val="0"/>
              <w:overflowPunct w:val="0"/>
              <w:spacing w:line="300" w:lineRule="auto"/>
              <w:jc w:val="center"/>
              <w:rPr>
                <w:rFonts w:ascii="Times New Roman" w:cs="Times New Roman"/>
                <w:color w:val="auto"/>
                <w:sz w:val="18"/>
                <w:szCs w:val="18"/>
              </w:rPr>
            </w:pPr>
          </w:p>
        </w:tc>
        <w:tc>
          <w:tcPr>
            <w:tcW w:w="880"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验收依据</w:t>
            </w:r>
          </w:p>
        </w:tc>
        <w:tc>
          <w:tcPr>
            <w:tcW w:w="1618" w:type="pct"/>
            <w:gridSpan w:val="3"/>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37"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验收项目</w:t>
            </w:r>
          </w:p>
        </w:tc>
        <w:tc>
          <w:tcPr>
            <w:tcW w:w="865"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设计要求及</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规范规定</w:t>
            </w:r>
          </w:p>
        </w:tc>
        <w:tc>
          <w:tcPr>
            <w:tcW w:w="880"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最小/实际</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抽样数量</w:t>
            </w:r>
          </w:p>
        </w:tc>
        <w:tc>
          <w:tcPr>
            <w:tcW w:w="944"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检查记录</w:t>
            </w:r>
          </w:p>
        </w:tc>
        <w:tc>
          <w:tcPr>
            <w:tcW w:w="674"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主控项目</w:t>
            </w:r>
          </w:p>
        </w:tc>
        <w:tc>
          <w:tcPr>
            <w:tcW w:w="208"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1133"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结构构件性能</w:t>
            </w:r>
          </w:p>
        </w:tc>
        <w:tc>
          <w:tcPr>
            <w:tcW w:w="865" w:type="pct"/>
            <w:gridSpan w:val="2"/>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按照本指南</w:t>
            </w:r>
          </w:p>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5.2条执行</w:t>
            </w:r>
          </w:p>
        </w:tc>
        <w:tc>
          <w:tcPr>
            <w:tcW w:w="880" w:type="pct"/>
            <w:vAlign w:val="center"/>
          </w:tcPr>
          <w:p>
            <w:pPr>
              <w:pStyle w:val="117"/>
              <w:kinsoku w:val="0"/>
              <w:overflowPunct w:val="0"/>
              <w:spacing w:line="300" w:lineRule="auto"/>
              <w:jc w:val="center"/>
              <w:rPr>
                <w:rFonts w:ascii="Times New Roman" w:cs="Times New Roman"/>
                <w:color w:val="auto"/>
                <w:sz w:val="18"/>
                <w:szCs w:val="18"/>
              </w:rPr>
            </w:pPr>
          </w:p>
        </w:tc>
        <w:tc>
          <w:tcPr>
            <w:tcW w:w="94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74"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08"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1133"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混凝土强度</w:t>
            </w:r>
          </w:p>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（MPa）</w:t>
            </w:r>
          </w:p>
        </w:tc>
        <w:tc>
          <w:tcPr>
            <w:tcW w:w="865" w:type="pct"/>
            <w:gridSpan w:val="2"/>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按照本指南</w:t>
            </w:r>
          </w:p>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5.2条执行</w:t>
            </w:r>
          </w:p>
        </w:tc>
        <w:tc>
          <w:tcPr>
            <w:tcW w:w="880" w:type="pct"/>
            <w:vAlign w:val="center"/>
          </w:tcPr>
          <w:p>
            <w:pPr>
              <w:pStyle w:val="117"/>
              <w:kinsoku w:val="0"/>
              <w:overflowPunct w:val="0"/>
              <w:spacing w:line="300" w:lineRule="auto"/>
              <w:jc w:val="center"/>
              <w:rPr>
                <w:rFonts w:ascii="Times New Roman" w:cs="Times New Roman"/>
                <w:color w:val="auto"/>
                <w:sz w:val="18"/>
                <w:szCs w:val="18"/>
              </w:rPr>
            </w:pPr>
          </w:p>
        </w:tc>
        <w:tc>
          <w:tcPr>
            <w:tcW w:w="94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74"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一般项目</w:t>
            </w:r>
          </w:p>
        </w:tc>
        <w:tc>
          <w:tcPr>
            <w:tcW w:w="208"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527" w:type="pct"/>
            <w:gridSpan w:val="2"/>
            <w:vMerge w:val="restart"/>
            <w:vAlign w:val="center"/>
          </w:tcPr>
          <w:p>
            <w:pPr>
              <w:pStyle w:val="117"/>
              <w:kinsoku w:val="0"/>
              <w:overflowPunct w:val="0"/>
              <w:spacing w:line="240" w:lineRule="auto"/>
              <w:jc w:val="center"/>
              <w:rPr>
                <w:rFonts w:ascii="Times New Roman" w:cs="Times New Roman"/>
                <w:color w:val="auto"/>
                <w:sz w:val="18"/>
                <w:szCs w:val="18"/>
              </w:rPr>
            </w:pPr>
            <w:r>
              <w:rPr>
                <w:rFonts w:ascii="Times New Roman" w:cs="Times New Roman"/>
                <w:color w:val="auto"/>
                <w:sz w:val="18"/>
                <w:szCs w:val="18"/>
              </w:rPr>
              <w:t>受力钢筋保护层厚度</w:t>
            </w:r>
          </w:p>
        </w:tc>
        <w:tc>
          <w:tcPr>
            <w:tcW w:w="606" w:type="pct"/>
            <w:vAlign w:val="center"/>
          </w:tcPr>
          <w:p>
            <w:pPr>
              <w:pStyle w:val="117"/>
              <w:kinsoku w:val="0"/>
              <w:overflowPunct w:val="0"/>
              <w:spacing w:before="312" w:after="312" w:line="240" w:lineRule="auto"/>
              <w:jc w:val="center"/>
              <w:rPr>
                <w:rFonts w:ascii="Times New Roman" w:eastAsia="黑体" w:cs="Times New Roman"/>
                <w:color w:val="auto"/>
                <w:sz w:val="18"/>
                <w:szCs w:val="18"/>
              </w:rPr>
            </w:pPr>
            <w:r>
              <w:rPr>
                <w:rFonts w:ascii="Times New Roman" w:cs="Times New Roman"/>
                <w:color w:val="auto"/>
                <w:sz w:val="18"/>
                <w:szCs w:val="18"/>
              </w:rPr>
              <w:t>柱、梁</w:t>
            </w:r>
            <w:r>
              <w:rPr>
                <w:rFonts w:hint="eastAsia" w:ascii="Times New Roman" w:cs="Times New Roman"/>
                <w:color w:val="auto"/>
                <w:sz w:val="18"/>
                <w:szCs w:val="18"/>
              </w:rPr>
              <w:t>(mm)</w:t>
            </w:r>
          </w:p>
        </w:tc>
        <w:tc>
          <w:tcPr>
            <w:tcW w:w="865"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880" w:type="pct"/>
            <w:vAlign w:val="center"/>
          </w:tcPr>
          <w:p>
            <w:pPr>
              <w:pStyle w:val="117"/>
              <w:kinsoku w:val="0"/>
              <w:overflowPunct w:val="0"/>
              <w:spacing w:line="300" w:lineRule="auto"/>
              <w:jc w:val="center"/>
              <w:rPr>
                <w:rFonts w:ascii="Times New Roman" w:cs="Times New Roman"/>
                <w:color w:val="auto"/>
                <w:sz w:val="18"/>
                <w:szCs w:val="18"/>
              </w:rPr>
            </w:pPr>
          </w:p>
        </w:tc>
        <w:tc>
          <w:tcPr>
            <w:tcW w:w="94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74"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08"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27" w:type="pct"/>
            <w:gridSpan w:val="2"/>
            <w:vMerge w:val="continue"/>
            <w:vAlign w:val="center"/>
          </w:tcPr>
          <w:p>
            <w:pPr>
              <w:pStyle w:val="117"/>
              <w:kinsoku w:val="0"/>
              <w:overflowPunct w:val="0"/>
              <w:spacing w:line="240" w:lineRule="auto"/>
              <w:jc w:val="center"/>
              <w:rPr>
                <w:rFonts w:ascii="Times New Roman" w:cs="Times New Roman"/>
                <w:color w:val="auto"/>
                <w:sz w:val="18"/>
                <w:szCs w:val="18"/>
              </w:rPr>
            </w:pPr>
          </w:p>
        </w:tc>
        <w:tc>
          <w:tcPr>
            <w:tcW w:w="606" w:type="pct"/>
            <w:vAlign w:val="center"/>
          </w:tcPr>
          <w:p>
            <w:pPr>
              <w:pStyle w:val="117"/>
              <w:kinsoku w:val="0"/>
              <w:overflowPunct w:val="0"/>
              <w:spacing w:line="240" w:lineRule="auto"/>
              <w:jc w:val="center"/>
              <w:rPr>
                <w:rFonts w:ascii="Times New Roman" w:cs="Times New Roman"/>
                <w:color w:val="auto"/>
                <w:sz w:val="18"/>
                <w:szCs w:val="18"/>
              </w:rPr>
            </w:pPr>
            <w:r>
              <w:rPr>
                <w:rFonts w:ascii="Times New Roman" w:cs="Times New Roman"/>
                <w:color w:val="auto"/>
                <w:sz w:val="18"/>
                <w:szCs w:val="18"/>
              </w:rPr>
              <w:t>板、墙</w:t>
            </w:r>
            <w:r>
              <w:rPr>
                <w:rFonts w:hint="eastAsia" w:ascii="Times New Roman" w:cs="Times New Roman"/>
                <w:color w:val="auto"/>
                <w:sz w:val="18"/>
                <w:szCs w:val="18"/>
              </w:rPr>
              <w:t>(mm)</w:t>
            </w:r>
          </w:p>
        </w:tc>
        <w:tc>
          <w:tcPr>
            <w:tcW w:w="865"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±3</w:t>
            </w:r>
          </w:p>
        </w:tc>
        <w:tc>
          <w:tcPr>
            <w:tcW w:w="880" w:type="pct"/>
            <w:vAlign w:val="center"/>
          </w:tcPr>
          <w:p>
            <w:pPr>
              <w:pStyle w:val="117"/>
              <w:kinsoku w:val="0"/>
              <w:overflowPunct w:val="0"/>
              <w:spacing w:line="300" w:lineRule="auto"/>
              <w:jc w:val="center"/>
              <w:rPr>
                <w:rFonts w:ascii="Times New Roman" w:cs="Times New Roman"/>
                <w:color w:val="auto"/>
                <w:sz w:val="18"/>
                <w:szCs w:val="18"/>
              </w:rPr>
            </w:pPr>
          </w:p>
        </w:tc>
        <w:tc>
          <w:tcPr>
            <w:tcW w:w="94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74"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08"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527" w:type="pct"/>
            <w:gridSpan w:val="2"/>
            <w:vMerge w:val="restart"/>
            <w:vAlign w:val="center"/>
          </w:tcPr>
          <w:p>
            <w:pPr>
              <w:pStyle w:val="117"/>
              <w:kinsoku w:val="0"/>
              <w:overflowPunct w:val="0"/>
              <w:spacing w:line="240" w:lineRule="auto"/>
              <w:jc w:val="center"/>
              <w:rPr>
                <w:rFonts w:ascii="Times New Roman" w:cs="Times New Roman"/>
                <w:color w:val="auto"/>
                <w:sz w:val="18"/>
                <w:szCs w:val="18"/>
              </w:rPr>
            </w:pPr>
            <w:r>
              <w:rPr>
                <w:rFonts w:ascii="Times New Roman" w:cs="Times New Roman"/>
                <w:color w:val="auto"/>
                <w:sz w:val="18"/>
                <w:szCs w:val="18"/>
              </w:rPr>
              <w:t>纵向受力钢筋</w:t>
            </w:r>
          </w:p>
        </w:tc>
        <w:tc>
          <w:tcPr>
            <w:tcW w:w="606" w:type="pct"/>
            <w:vAlign w:val="center"/>
          </w:tcPr>
          <w:p>
            <w:pPr>
              <w:pStyle w:val="117"/>
              <w:kinsoku w:val="0"/>
              <w:overflowPunct w:val="0"/>
              <w:spacing w:before="312" w:after="312" w:line="240" w:lineRule="auto"/>
              <w:jc w:val="center"/>
              <w:rPr>
                <w:rFonts w:ascii="Times New Roman" w:cs="Times New Roman"/>
                <w:color w:val="auto"/>
                <w:sz w:val="18"/>
                <w:szCs w:val="18"/>
              </w:rPr>
            </w:pPr>
            <w:r>
              <w:rPr>
                <w:rFonts w:ascii="Times New Roman" w:cs="Times New Roman"/>
                <w:color w:val="auto"/>
                <w:sz w:val="18"/>
                <w:szCs w:val="18"/>
              </w:rPr>
              <w:t>间距</w:t>
            </w:r>
            <w:r>
              <w:rPr>
                <w:rFonts w:hint="eastAsia" w:ascii="Times New Roman" w:cs="Times New Roman"/>
                <w:color w:val="auto"/>
                <w:sz w:val="18"/>
                <w:szCs w:val="18"/>
              </w:rPr>
              <w:t>(mm)</w:t>
            </w:r>
          </w:p>
        </w:tc>
        <w:tc>
          <w:tcPr>
            <w:tcW w:w="865"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±10</w:t>
            </w:r>
          </w:p>
        </w:tc>
        <w:tc>
          <w:tcPr>
            <w:tcW w:w="880" w:type="pct"/>
            <w:vAlign w:val="center"/>
          </w:tcPr>
          <w:p>
            <w:pPr>
              <w:pStyle w:val="117"/>
              <w:kinsoku w:val="0"/>
              <w:overflowPunct w:val="0"/>
              <w:spacing w:line="300" w:lineRule="auto"/>
              <w:jc w:val="center"/>
              <w:rPr>
                <w:rFonts w:ascii="Times New Roman" w:cs="Times New Roman"/>
                <w:color w:val="auto"/>
                <w:sz w:val="18"/>
                <w:szCs w:val="18"/>
              </w:rPr>
            </w:pPr>
          </w:p>
        </w:tc>
        <w:tc>
          <w:tcPr>
            <w:tcW w:w="94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74"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08"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27" w:type="pct"/>
            <w:gridSpan w:val="2"/>
            <w:vMerge w:val="continue"/>
            <w:vAlign w:val="center"/>
          </w:tcPr>
          <w:p>
            <w:pPr>
              <w:pStyle w:val="117"/>
              <w:kinsoku w:val="0"/>
              <w:overflowPunct w:val="0"/>
              <w:spacing w:line="240" w:lineRule="auto"/>
              <w:jc w:val="center"/>
              <w:rPr>
                <w:rFonts w:ascii="Times New Roman" w:cs="Times New Roman"/>
                <w:color w:val="auto"/>
                <w:sz w:val="18"/>
                <w:szCs w:val="18"/>
              </w:rPr>
            </w:pPr>
          </w:p>
        </w:tc>
        <w:tc>
          <w:tcPr>
            <w:tcW w:w="606" w:type="pct"/>
            <w:vAlign w:val="center"/>
          </w:tcPr>
          <w:p>
            <w:pPr>
              <w:pStyle w:val="117"/>
              <w:kinsoku w:val="0"/>
              <w:overflowPunct w:val="0"/>
              <w:spacing w:before="312" w:after="312" w:line="240" w:lineRule="auto"/>
              <w:jc w:val="center"/>
              <w:rPr>
                <w:rFonts w:ascii="Times New Roman" w:cs="Times New Roman"/>
                <w:color w:val="auto"/>
                <w:sz w:val="18"/>
                <w:szCs w:val="18"/>
              </w:rPr>
            </w:pPr>
            <w:r>
              <w:rPr>
                <w:rFonts w:ascii="Times New Roman" w:cs="Times New Roman"/>
                <w:color w:val="auto"/>
                <w:sz w:val="18"/>
                <w:szCs w:val="18"/>
              </w:rPr>
              <w:t>排距</w:t>
            </w:r>
            <w:r>
              <w:rPr>
                <w:rFonts w:hint="eastAsia" w:ascii="Times New Roman" w:cs="Times New Roman"/>
                <w:color w:val="auto"/>
                <w:sz w:val="18"/>
                <w:szCs w:val="18"/>
              </w:rPr>
              <w:t>(mm)</w:t>
            </w:r>
          </w:p>
        </w:tc>
        <w:tc>
          <w:tcPr>
            <w:tcW w:w="865"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880" w:type="pct"/>
            <w:vAlign w:val="center"/>
          </w:tcPr>
          <w:p>
            <w:pPr>
              <w:pStyle w:val="117"/>
              <w:kinsoku w:val="0"/>
              <w:overflowPunct w:val="0"/>
              <w:spacing w:line="300" w:lineRule="auto"/>
              <w:jc w:val="center"/>
              <w:rPr>
                <w:rFonts w:ascii="Times New Roman" w:cs="Times New Roman"/>
                <w:color w:val="auto"/>
                <w:sz w:val="18"/>
                <w:szCs w:val="18"/>
              </w:rPr>
            </w:pPr>
          </w:p>
        </w:tc>
        <w:tc>
          <w:tcPr>
            <w:tcW w:w="94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74"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08"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3</w:t>
            </w:r>
          </w:p>
        </w:tc>
        <w:tc>
          <w:tcPr>
            <w:tcW w:w="1133"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横向受力钢筋</w:t>
            </w:r>
            <w:r>
              <w:rPr>
                <w:rFonts w:hint="eastAsia" w:ascii="Times New Roman" w:cs="Times New Roman"/>
                <w:color w:val="auto"/>
                <w:sz w:val="18"/>
                <w:szCs w:val="18"/>
              </w:rPr>
              <w:t xml:space="preserve"> (mm)</w:t>
            </w:r>
          </w:p>
        </w:tc>
        <w:tc>
          <w:tcPr>
            <w:tcW w:w="865"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±20</w:t>
            </w:r>
          </w:p>
        </w:tc>
        <w:tc>
          <w:tcPr>
            <w:tcW w:w="880" w:type="pct"/>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94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74"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637"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c>
          <w:tcPr>
            <w:tcW w:w="3363" w:type="pct"/>
            <w:gridSpan w:val="6"/>
            <w:vAlign w:val="center"/>
          </w:tcPr>
          <w:p>
            <w:pPr>
              <w:pStyle w:val="117"/>
              <w:kinsoku w:val="0"/>
              <w:overflowPunct w:val="0"/>
              <w:spacing w:line="300" w:lineRule="auto"/>
              <w:ind w:right="455" w:firstLine="1440" w:firstLineChars="800"/>
              <w:jc w:val="center"/>
              <w:rPr>
                <w:rFonts w:ascii="Times New Roman" w:cs="Times New Roman"/>
                <w:color w:val="auto"/>
                <w:sz w:val="18"/>
                <w:szCs w:val="18"/>
              </w:rPr>
            </w:pPr>
          </w:p>
          <w:p>
            <w:pPr>
              <w:pStyle w:val="117"/>
              <w:kinsoku w:val="0"/>
              <w:overflowPunct w:val="0"/>
              <w:spacing w:line="300" w:lineRule="auto"/>
              <w:ind w:right="455" w:firstLine="1440" w:firstLineChars="800"/>
              <w:jc w:val="center"/>
              <w:rPr>
                <w:rFonts w:ascii="Times New Roman" w:cs="Times New Roman"/>
                <w:color w:val="auto"/>
                <w:sz w:val="18"/>
                <w:szCs w:val="18"/>
              </w:rPr>
            </w:pPr>
          </w:p>
          <w:p>
            <w:pPr>
              <w:pStyle w:val="117"/>
              <w:kinsoku w:val="0"/>
              <w:overflowPunct w:val="0"/>
              <w:spacing w:line="300" w:lineRule="auto"/>
              <w:ind w:right="455" w:firstLine="1440" w:firstLineChars="800"/>
              <w:jc w:val="center"/>
              <w:rPr>
                <w:rFonts w:ascii="Times New Roman" w:cs="Times New Roman"/>
                <w:color w:val="auto"/>
                <w:sz w:val="18"/>
                <w:szCs w:val="18"/>
              </w:rPr>
            </w:pPr>
            <w:r>
              <w:rPr>
                <w:rFonts w:ascii="Times New Roman" w:cs="Times New Roman"/>
                <w:color w:val="auto"/>
                <w:sz w:val="18"/>
                <w:szCs w:val="18"/>
              </w:rPr>
              <w:t>专业工长：          项目专业质量检查员：</w:t>
            </w:r>
          </w:p>
          <w:p>
            <w:pPr>
              <w:pStyle w:val="117"/>
              <w:kinsoku w:val="0"/>
              <w:overflowPunct w:val="0"/>
              <w:spacing w:line="300" w:lineRule="auto"/>
              <w:ind w:right="455" w:firstLine="1440" w:firstLineChars="800"/>
              <w:jc w:val="center"/>
              <w:rPr>
                <w:rFonts w:ascii="Times New Roman" w:cs="Times New Roman"/>
                <w:color w:val="auto"/>
                <w:w w:val="95"/>
                <w:sz w:val="15"/>
                <w:szCs w:val="15"/>
              </w:rPr>
            </w:pPr>
            <w:r>
              <w:rPr>
                <w:rFonts w:ascii="Times New Roman" w:cs="Times New Roman"/>
                <w:color w:val="auto"/>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37"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监理</w:t>
            </w:r>
            <w:r>
              <w:rPr>
                <w:rFonts w:hint="eastAsia" w:ascii="Times New Roman" w:cs="Times New Roman"/>
                <w:color w:val="auto"/>
                <w:sz w:val="18"/>
                <w:szCs w:val="18"/>
              </w:rPr>
              <w:t>（建设）</w:t>
            </w:r>
            <w:r>
              <w:rPr>
                <w:rFonts w:ascii="Times New Roman" w:cs="Times New Roman"/>
                <w:color w:val="auto"/>
                <w:sz w:val="18"/>
                <w:szCs w:val="18"/>
              </w:rPr>
              <w:t>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验收结论</w:t>
            </w:r>
          </w:p>
        </w:tc>
        <w:tc>
          <w:tcPr>
            <w:tcW w:w="3363" w:type="pct"/>
            <w:gridSpan w:val="6"/>
            <w:vAlign w:val="center"/>
          </w:tcPr>
          <w:p>
            <w:pPr>
              <w:pStyle w:val="117"/>
              <w:kinsoku w:val="0"/>
              <w:overflowPunct w:val="0"/>
              <w:spacing w:before="126" w:line="300" w:lineRule="auto"/>
              <w:ind w:left="2213"/>
              <w:jc w:val="center"/>
              <w:rPr>
                <w:rFonts w:ascii="Times New Roman" w:cs="Times New Roman"/>
                <w:color w:val="auto"/>
                <w:sz w:val="18"/>
                <w:szCs w:val="18"/>
              </w:rPr>
            </w:pPr>
          </w:p>
          <w:p>
            <w:pPr>
              <w:pStyle w:val="117"/>
              <w:kinsoku w:val="0"/>
              <w:overflowPunct w:val="0"/>
              <w:spacing w:before="126" w:line="300" w:lineRule="auto"/>
              <w:jc w:val="center"/>
              <w:rPr>
                <w:rFonts w:ascii="Times New Roman" w:cs="Times New Roman"/>
                <w:color w:val="auto"/>
                <w:sz w:val="18"/>
                <w:szCs w:val="18"/>
              </w:rPr>
            </w:pPr>
            <w:r>
              <w:rPr>
                <w:rFonts w:ascii="Times New Roman" w:cs="Times New Roman"/>
                <w:color w:val="auto"/>
                <w:sz w:val="18"/>
                <w:szCs w:val="18"/>
              </w:rPr>
              <w:t>专业监理工程师</w:t>
            </w:r>
            <w:r>
              <w:rPr>
                <w:rFonts w:hint="eastAsia" w:ascii="Times New Roman" w:cs="Times New Roman"/>
                <w:color w:val="auto"/>
                <w:sz w:val="18"/>
                <w:szCs w:val="18"/>
              </w:rPr>
              <w:t>（建设单位项目负责人）</w:t>
            </w:r>
            <w:r>
              <w:rPr>
                <w:rFonts w:ascii="Times New Roman" w:cs="Times New Roman"/>
                <w:color w:val="auto"/>
                <w:sz w:val="18"/>
                <w:szCs w:val="18"/>
              </w:rPr>
              <w:t>：</w:t>
            </w:r>
          </w:p>
          <w:p>
            <w:pPr>
              <w:pStyle w:val="117"/>
              <w:kinsoku w:val="0"/>
              <w:overflowPunct w:val="0"/>
              <w:spacing w:line="300" w:lineRule="auto"/>
              <w:ind w:right="455" w:firstLine="1440" w:firstLineChars="800"/>
              <w:jc w:val="center"/>
              <w:rPr>
                <w:rFonts w:ascii="Times New Roman" w:cs="Times New Roman"/>
                <w:color w:val="auto"/>
                <w:w w:val="95"/>
                <w:sz w:val="15"/>
                <w:szCs w:val="15"/>
              </w:rPr>
            </w:pPr>
            <w:r>
              <w:rPr>
                <w:rFonts w:ascii="Times New Roman" w:cs="Times New Roman"/>
                <w:color w:val="auto"/>
                <w:sz w:val="18"/>
                <w:szCs w:val="18"/>
              </w:rPr>
              <w:t>年   月   日</w:t>
            </w:r>
          </w:p>
        </w:tc>
      </w:tr>
    </w:tbl>
    <w:p>
      <w:pPr>
        <w:pStyle w:val="77"/>
        <w:spacing w:after="156" w:afterLines="50" w:line="300" w:lineRule="auto"/>
        <w:ind w:firstLine="0" w:firstLineChars="0"/>
        <w:rPr>
          <w:rFonts w:ascii="Times New Roman" w:hAnsi="Times New Roman"/>
          <w:color w:val="auto"/>
          <w:sz w:val="24"/>
          <w:szCs w:val="24"/>
        </w:rPr>
      </w:pPr>
      <w:r>
        <w:rPr>
          <w:rFonts w:ascii="Times New Roman" w:hAnsi="Times New Roman"/>
          <w:color w:val="auto"/>
          <w:sz w:val="24"/>
          <w:szCs w:val="24"/>
        </w:rPr>
        <w:br w:type="page"/>
      </w:r>
    </w:p>
    <w:p>
      <w:pPr>
        <w:pStyle w:val="77"/>
        <w:spacing w:after="156" w:afterLines="50" w:line="300" w:lineRule="auto"/>
        <w:ind w:firstLine="0" w:firstLineChars="0"/>
        <w:rPr>
          <w:rFonts w:ascii="Times New Roman" w:hAnsi="Times New Roman"/>
          <w:color w:val="auto"/>
          <w:sz w:val="24"/>
          <w:szCs w:val="24"/>
        </w:rPr>
      </w:pPr>
      <w:r>
        <w:rPr>
          <w:rFonts w:ascii="Times New Roman" w:hAnsi="Times New Roman"/>
          <w:color w:val="auto"/>
          <w:sz w:val="24"/>
          <w:szCs w:val="24"/>
        </w:rPr>
        <w:t>A.3外观质量检验批质量验收记录表</w:t>
      </w:r>
    </w:p>
    <w:tbl>
      <w:tblPr>
        <w:tblStyle w:val="32"/>
        <w:tblW w:w="501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354"/>
        <w:gridCol w:w="568"/>
        <w:gridCol w:w="1375"/>
        <w:gridCol w:w="51"/>
        <w:gridCol w:w="1427"/>
        <w:gridCol w:w="1463"/>
        <w:gridCol w:w="1389"/>
        <w:gridCol w:w="267"/>
        <w:gridCol w:w="11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单位（子单位）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834"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分部（子分部）</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855" w:type="pct"/>
            <w:vAlign w:val="center"/>
          </w:tcPr>
          <w:p>
            <w:pPr>
              <w:pStyle w:val="117"/>
              <w:kinsoku w:val="0"/>
              <w:overflowPunct w:val="0"/>
              <w:spacing w:line="300" w:lineRule="auto"/>
              <w:jc w:val="center"/>
              <w:rPr>
                <w:rFonts w:ascii="Times New Roman" w:cs="Times New Roman"/>
                <w:color w:val="auto"/>
                <w:sz w:val="18"/>
                <w:szCs w:val="18"/>
              </w:rPr>
            </w:pPr>
          </w:p>
        </w:tc>
        <w:tc>
          <w:tcPr>
            <w:tcW w:w="81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分项工程名称</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33"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834"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855" w:type="pct"/>
            <w:vAlign w:val="center"/>
          </w:tcPr>
          <w:p>
            <w:pPr>
              <w:pStyle w:val="117"/>
              <w:kinsoku w:val="0"/>
              <w:overflowPunct w:val="0"/>
              <w:spacing w:line="300" w:lineRule="auto"/>
              <w:jc w:val="center"/>
              <w:rPr>
                <w:rFonts w:ascii="Times New Roman" w:cs="Times New Roman"/>
                <w:color w:val="auto"/>
                <w:sz w:val="18"/>
                <w:szCs w:val="18"/>
              </w:rPr>
            </w:pPr>
          </w:p>
        </w:tc>
        <w:tc>
          <w:tcPr>
            <w:tcW w:w="81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检验批容量</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构件生产单位</w:t>
            </w: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834"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855" w:type="pct"/>
            <w:vAlign w:val="center"/>
          </w:tcPr>
          <w:p>
            <w:pPr>
              <w:pStyle w:val="117"/>
              <w:kinsoku w:val="0"/>
              <w:overflowPunct w:val="0"/>
              <w:spacing w:line="300" w:lineRule="auto"/>
              <w:jc w:val="center"/>
              <w:rPr>
                <w:rFonts w:ascii="Times New Roman" w:cs="Times New Roman"/>
                <w:color w:val="auto"/>
                <w:sz w:val="18"/>
                <w:szCs w:val="18"/>
              </w:rPr>
            </w:pPr>
          </w:p>
        </w:tc>
        <w:tc>
          <w:tcPr>
            <w:tcW w:w="81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检验批部位</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3"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施工依据</w:t>
            </w:r>
          </w:p>
        </w:tc>
        <w:tc>
          <w:tcPr>
            <w:tcW w:w="1668"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855"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验收依据</w:t>
            </w:r>
          </w:p>
        </w:tc>
        <w:tc>
          <w:tcPr>
            <w:tcW w:w="1644" w:type="pct"/>
            <w:gridSpan w:val="3"/>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3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验收项目</w:t>
            </w:r>
          </w:p>
        </w:tc>
        <w:tc>
          <w:tcPr>
            <w:tcW w:w="864"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设计要求</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及规范规定</w:t>
            </w:r>
          </w:p>
        </w:tc>
        <w:tc>
          <w:tcPr>
            <w:tcW w:w="855"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最小/实际</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抽样数量</w:t>
            </w:r>
          </w:p>
        </w:tc>
        <w:tc>
          <w:tcPr>
            <w:tcW w:w="968"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检查记录</w:t>
            </w:r>
          </w:p>
        </w:tc>
        <w:tc>
          <w:tcPr>
            <w:tcW w:w="676"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4"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主控项目</w:t>
            </w:r>
          </w:p>
        </w:tc>
        <w:tc>
          <w:tcPr>
            <w:tcW w:w="207"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1136"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严重缺陷</w:t>
            </w:r>
          </w:p>
        </w:tc>
        <w:tc>
          <w:tcPr>
            <w:tcW w:w="864" w:type="pct"/>
            <w:gridSpan w:val="2"/>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按照本指南5.2.4.5执行</w:t>
            </w:r>
          </w:p>
        </w:tc>
        <w:tc>
          <w:tcPr>
            <w:tcW w:w="855" w:type="pct"/>
            <w:vAlign w:val="center"/>
          </w:tcPr>
          <w:p>
            <w:pPr>
              <w:pStyle w:val="117"/>
              <w:kinsoku w:val="0"/>
              <w:overflowPunct w:val="0"/>
              <w:spacing w:line="300" w:lineRule="auto"/>
              <w:jc w:val="center"/>
              <w:rPr>
                <w:rFonts w:ascii="Times New Roman" w:cs="Times New Roman"/>
                <w:color w:val="auto"/>
                <w:sz w:val="18"/>
                <w:szCs w:val="18"/>
              </w:rPr>
            </w:pPr>
          </w:p>
        </w:tc>
        <w:tc>
          <w:tcPr>
            <w:tcW w:w="968"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76"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4"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一般项目</w:t>
            </w:r>
          </w:p>
        </w:tc>
        <w:tc>
          <w:tcPr>
            <w:tcW w:w="207"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1136"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一般缺陷</w:t>
            </w:r>
          </w:p>
        </w:tc>
        <w:tc>
          <w:tcPr>
            <w:tcW w:w="864" w:type="pct"/>
            <w:gridSpan w:val="2"/>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按照本指南5.2.4.11执行</w:t>
            </w:r>
          </w:p>
        </w:tc>
        <w:tc>
          <w:tcPr>
            <w:tcW w:w="855" w:type="pct"/>
            <w:vAlign w:val="center"/>
          </w:tcPr>
          <w:p>
            <w:pPr>
              <w:pStyle w:val="117"/>
              <w:kinsoku w:val="0"/>
              <w:overflowPunct w:val="0"/>
              <w:spacing w:line="300" w:lineRule="auto"/>
              <w:jc w:val="center"/>
              <w:rPr>
                <w:rFonts w:ascii="Times New Roman" w:cs="Times New Roman"/>
                <w:color w:val="auto"/>
                <w:sz w:val="18"/>
                <w:szCs w:val="18"/>
              </w:rPr>
            </w:pPr>
          </w:p>
        </w:tc>
        <w:tc>
          <w:tcPr>
            <w:tcW w:w="968"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76"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3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c>
          <w:tcPr>
            <w:tcW w:w="3363" w:type="pct"/>
            <w:gridSpan w:val="6"/>
            <w:vAlign w:val="center"/>
          </w:tcPr>
          <w:p>
            <w:pPr>
              <w:kinsoku w:val="0"/>
              <w:overflowPunct w:val="0"/>
              <w:autoSpaceDE w:val="0"/>
              <w:autoSpaceDN w:val="0"/>
              <w:adjustRightInd w:val="0"/>
              <w:spacing w:line="300" w:lineRule="auto"/>
              <w:jc w:val="center"/>
              <w:rPr>
                <w:rFonts w:cs="Times New Roman"/>
                <w:color w:val="auto"/>
                <w:kern w:val="0"/>
                <w:sz w:val="12"/>
                <w:szCs w:val="12"/>
              </w:rPr>
            </w:pPr>
          </w:p>
          <w:p>
            <w:pPr>
              <w:pStyle w:val="117"/>
              <w:kinsoku w:val="0"/>
              <w:overflowPunct w:val="0"/>
              <w:spacing w:line="300" w:lineRule="auto"/>
              <w:ind w:right="455" w:firstLine="1440" w:firstLineChars="800"/>
              <w:jc w:val="center"/>
              <w:rPr>
                <w:rFonts w:ascii="Times New Roman" w:cs="Times New Roman"/>
                <w:color w:val="auto"/>
                <w:sz w:val="18"/>
                <w:szCs w:val="18"/>
              </w:rPr>
            </w:pPr>
          </w:p>
          <w:p>
            <w:pPr>
              <w:pStyle w:val="117"/>
              <w:kinsoku w:val="0"/>
              <w:overflowPunct w:val="0"/>
              <w:spacing w:line="300" w:lineRule="auto"/>
              <w:ind w:right="455" w:firstLine="1440" w:firstLineChars="800"/>
              <w:jc w:val="center"/>
              <w:rPr>
                <w:rFonts w:ascii="Times New Roman" w:cs="Times New Roman"/>
                <w:color w:val="auto"/>
                <w:sz w:val="18"/>
                <w:szCs w:val="18"/>
              </w:rPr>
            </w:pPr>
          </w:p>
          <w:p>
            <w:pPr>
              <w:pStyle w:val="117"/>
              <w:kinsoku w:val="0"/>
              <w:overflowPunct w:val="0"/>
              <w:spacing w:line="300" w:lineRule="auto"/>
              <w:ind w:right="455" w:firstLine="1440" w:firstLineChars="800"/>
              <w:jc w:val="center"/>
              <w:rPr>
                <w:rFonts w:ascii="Times New Roman" w:cs="Times New Roman"/>
                <w:color w:val="auto"/>
                <w:sz w:val="18"/>
                <w:szCs w:val="18"/>
              </w:rPr>
            </w:pPr>
          </w:p>
          <w:p>
            <w:pPr>
              <w:pStyle w:val="117"/>
              <w:kinsoku w:val="0"/>
              <w:overflowPunct w:val="0"/>
              <w:spacing w:line="300" w:lineRule="auto"/>
              <w:ind w:right="455" w:firstLine="1440" w:firstLineChars="800"/>
              <w:jc w:val="center"/>
              <w:rPr>
                <w:rFonts w:ascii="Times New Roman" w:cs="Times New Roman"/>
                <w:color w:val="auto"/>
                <w:sz w:val="18"/>
                <w:szCs w:val="18"/>
              </w:rPr>
            </w:pPr>
            <w:r>
              <w:rPr>
                <w:rFonts w:ascii="Times New Roman" w:cs="Times New Roman"/>
                <w:color w:val="auto"/>
                <w:sz w:val="18"/>
                <w:szCs w:val="18"/>
              </w:rPr>
              <w:t>专业工长：          项目专业质量检查员：</w:t>
            </w:r>
          </w:p>
          <w:p>
            <w:pPr>
              <w:pStyle w:val="117"/>
              <w:kinsoku w:val="0"/>
              <w:overflowPunct w:val="0"/>
              <w:spacing w:line="300" w:lineRule="auto"/>
              <w:ind w:right="455" w:firstLine="1440" w:firstLineChars="800"/>
              <w:jc w:val="center"/>
              <w:rPr>
                <w:rFonts w:ascii="Times New Roman" w:cs="Times New Roman"/>
                <w:color w:val="auto"/>
                <w:w w:val="95"/>
                <w:sz w:val="15"/>
                <w:szCs w:val="15"/>
              </w:rPr>
            </w:pPr>
            <w:r>
              <w:rPr>
                <w:rFonts w:ascii="Times New Roman" w:cs="Times New Roman"/>
                <w:color w:val="auto"/>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3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监理</w:t>
            </w:r>
            <w:r>
              <w:rPr>
                <w:rFonts w:hint="eastAsia" w:ascii="Times New Roman" w:cs="Times New Roman"/>
                <w:color w:val="auto"/>
                <w:sz w:val="18"/>
                <w:szCs w:val="18"/>
              </w:rPr>
              <w:t>（建设）</w:t>
            </w:r>
            <w:r>
              <w:rPr>
                <w:rFonts w:ascii="Times New Roman" w:cs="Times New Roman"/>
                <w:color w:val="auto"/>
                <w:sz w:val="18"/>
                <w:szCs w:val="18"/>
              </w:rPr>
              <w:t>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验收结论</w:t>
            </w:r>
          </w:p>
        </w:tc>
        <w:tc>
          <w:tcPr>
            <w:tcW w:w="3363" w:type="pct"/>
            <w:gridSpan w:val="6"/>
            <w:vAlign w:val="center"/>
          </w:tcPr>
          <w:p>
            <w:pPr>
              <w:pStyle w:val="117"/>
              <w:kinsoku w:val="0"/>
              <w:overflowPunct w:val="0"/>
              <w:spacing w:before="126" w:line="300" w:lineRule="auto"/>
              <w:ind w:left="2213"/>
              <w:jc w:val="center"/>
              <w:rPr>
                <w:rFonts w:ascii="Times New Roman" w:cs="Times New Roman"/>
                <w:color w:val="auto"/>
                <w:sz w:val="18"/>
                <w:szCs w:val="18"/>
              </w:rPr>
            </w:pPr>
          </w:p>
          <w:p>
            <w:pPr>
              <w:pStyle w:val="117"/>
              <w:kinsoku w:val="0"/>
              <w:overflowPunct w:val="0"/>
              <w:spacing w:before="126" w:line="300" w:lineRule="auto"/>
              <w:ind w:left="2213"/>
              <w:jc w:val="center"/>
              <w:rPr>
                <w:rFonts w:ascii="Times New Roman" w:cs="Times New Roman"/>
                <w:color w:val="auto"/>
                <w:sz w:val="18"/>
                <w:szCs w:val="18"/>
              </w:rPr>
            </w:pPr>
          </w:p>
          <w:p>
            <w:pPr>
              <w:pStyle w:val="117"/>
              <w:kinsoku w:val="0"/>
              <w:overflowPunct w:val="0"/>
              <w:spacing w:before="126" w:line="300" w:lineRule="auto"/>
              <w:jc w:val="center"/>
              <w:rPr>
                <w:rFonts w:ascii="Times New Roman" w:cs="Times New Roman"/>
                <w:color w:val="auto"/>
                <w:sz w:val="18"/>
                <w:szCs w:val="18"/>
              </w:rPr>
            </w:pPr>
            <w:r>
              <w:rPr>
                <w:rFonts w:ascii="Times New Roman" w:cs="Times New Roman"/>
                <w:color w:val="auto"/>
                <w:sz w:val="18"/>
                <w:szCs w:val="18"/>
              </w:rPr>
              <w:t>专业监理工程师</w:t>
            </w:r>
            <w:r>
              <w:rPr>
                <w:rFonts w:hint="eastAsia" w:ascii="Times New Roman" w:cs="Times New Roman"/>
                <w:color w:val="auto"/>
                <w:sz w:val="18"/>
                <w:szCs w:val="18"/>
              </w:rPr>
              <w:t>（建设单位项目负责人）</w:t>
            </w:r>
            <w:r>
              <w:rPr>
                <w:rFonts w:ascii="Times New Roman" w:cs="Times New Roman"/>
                <w:color w:val="auto"/>
                <w:sz w:val="18"/>
                <w:szCs w:val="18"/>
              </w:rPr>
              <w:t>：</w:t>
            </w:r>
          </w:p>
          <w:p>
            <w:pPr>
              <w:pStyle w:val="117"/>
              <w:kinsoku w:val="0"/>
              <w:overflowPunct w:val="0"/>
              <w:spacing w:line="300" w:lineRule="auto"/>
              <w:ind w:right="455" w:firstLine="1440" w:firstLineChars="800"/>
              <w:jc w:val="center"/>
              <w:rPr>
                <w:rFonts w:ascii="Times New Roman" w:cs="Times New Roman"/>
                <w:color w:val="auto"/>
                <w:w w:val="95"/>
                <w:sz w:val="15"/>
                <w:szCs w:val="15"/>
              </w:rPr>
            </w:pPr>
            <w:r>
              <w:rPr>
                <w:rFonts w:ascii="Times New Roman" w:cs="Times New Roman"/>
                <w:color w:val="auto"/>
                <w:sz w:val="18"/>
                <w:szCs w:val="18"/>
              </w:rPr>
              <w:t>年   月   日</w:t>
            </w:r>
          </w:p>
        </w:tc>
      </w:tr>
    </w:tbl>
    <w:p>
      <w:pPr>
        <w:widowControl/>
        <w:spacing w:line="300" w:lineRule="auto"/>
        <w:jc w:val="left"/>
        <w:rPr>
          <w:rFonts w:cs="Times New Roman"/>
          <w:color w:val="auto"/>
          <w:kern w:val="0"/>
          <w:szCs w:val="20"/>
        </w:rPr>
      </w:pPr>
      <w:r>
        <w:rPr>
          <w:color w:val="auto"/>
        </w:rPr>
        <w:br w:type="page"/>
      </w:r>
    </w:p>
    <w:p>
      <w:pPr>
        <w:pStyle w:val="77"/>
        <w:spacing w:line="300" w:lineRule="auto"/>
        <w:ind w:firstLine="0" w:firstLineChars="0"/>
        <w:jc w:val="left"/>
        <w:rPr>
          <w:rFonts w:ascii="Times New Roman" w:hAnsi="Times New Roman"/>
          <w:color w:val="auto"/>
        </w:rPr>
      </w:pPr>
      <w:r>
        <w:rPr>
          <w:rFonts w:ascii="Times New Roman" w:hAnsi="Times New Roman"/>
          <w:color w:val="auto"/>
          <w:sz w:val="24"/>
          <w:szCs w:val="24"/>
        </w:rPr>
        <w:t>A.4预埋件、预留孔洞、预留钢筋检验批质量验收记录表</w:t>
      </w:r>
    </w:p>
    <w:tbl>
      <w:tblPr>
        <w:tblStyle w:val="32"/>
        <w:tblW w:w="5323" w:type="pct"/>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419"/>
        <w:gridCol w:w="503"/>
        <w:gridCol w:w="526"/>
        <w:gridCol w:w="688"/>
        <w:gridCol w:w="210"/>
        <w:gridCol w:w="802"/>
        <w:gridCol w:w="853"/>
        <w:gridCol w:w="1274"/>
        <w:gridCol w:w="994"/>
        <w:gridCol w:w="365"/>
        <w:gridCol w:w="768"/>
        <w:gridCol w:w="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82"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单位（子单位）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78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91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分部（子分部）</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p>
        </w:tc>
        <w:tc>
          <w:tcPr>
            <w:tcW w:w="749"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分项工程名称</w:t>
            </w:r>
          </w:p>
        </w:tc>
        <w:tc>
          <w:tcPr>
            <w:tcW w:w="970"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82"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tc>
        <w:tc>
          <w:tcPr>
            <w:tcW w:w="78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91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p>
        </w:tc>
        <w:tc>
          <w:tcPr>
            <w:tcW w:w="749"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检验批容量</w:t>
            </w:r>
          </w:p>
        </w:tc>
        <w:tc>
          <w:tcPr>
            <w:tcW w:w="970"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82"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构件生产单位</w:t>
            </w:r>
          </w:p>
        </w:tc>
        <w:tc>
          <w:tcPr>
            <w:tcW w:w="78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91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p>
        </w:tc>
        <w:tc>
          <w:tcPr>
            <w:tcW w:w="749"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检验批部位</w:t>
            </w:r>
          </w:p>
        </w:tc>
        <w:tc>
          <w:tcPr>
            <w:tcW w:w="970"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2"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施工依据</w:t>
            </w:r>
          </w:p>
        </w:tc>
        <w:tc>
          <w:tcPr>
            <w:tcW w:w="1697" w:type="pct"/>
            <w:gridSpan w:val="5"/>
            <w:vAlign w:val="center"/>
          </w:tcPr>
          <w:p>
            <w:pPr>
              <w:pStyle w:val="117"/>
              <w:kinsoku w:val="0"/>
              <w:overflowPunct w:val="0"/>
              <w:spacing w:line="300" w:lineRule="auto"/>
              <w:jc w:val="center"/>
              <w:rPr>
                <w:rFonts w:ascii="Times New Roman" w:cs="Times New Roman"/>
                <w:color w:val="auto"/>
                <w:sz w:val="18"/>
                <w:szCs w:val="18"/>
              </w:rPr>
            </w:pP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验收依据</w:t>
            </w:r>
          </w:p>
        </w:tc>
        <w:tc>
          <w:tcPr>
            <w:tcW w:w="1719" w:type="pct"/>
            <w:gridSpan w:val="4"/>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579" w:type="pct"/>
            <w:gridSpan w:val="8"/>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验收项目</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设计要求及规范规定</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最小/实际</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抽样数量</w:t>
            </w: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检查记录</w:t>
            </w:r>
          </w:p>
        </w:tc>
        <w:tc>
          <w:tcPr>
            <w:tcW w:w="547"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主控</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w:t>
            </w:r>
          </w:p>
        </w:tc>
        <w:tc>
          <w:tcPr>
            <w:tcW w:w="231"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1974" w:type="pct"/>
            <w:gridSpan w:val="6"/>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规格、数量</w:t>
            </w:r>
          </w:p>
        </w:tc>
        <w:tc>
          <w:tcPr>
            <w:tcW w:w="702" w:type="pct"/>
            <w:vAlign w:val="center"/>
          </w:tcPr>
          <w:p>
            <w:pPr>
              <w:kinsoku w:val="0"/>
              <w:overflowPunct w:val="0"/>
              <w:autoSpaceDE w:val="0"/>
              <w:autoSpaceDN w:val="0"/>
              <w:adjustRightInd w:val="0"/>
              <w:spacing w:line="300" w:lineRule="auto"/>
              <w:jc w:val="center"/>
              <w:rPr>
                <w:rFonts w:cs="Times New Roman"/>
                <w:color w:val="auto"/>
                <w:kern w:val="0"/>
                <w:sz w:val="18"/>
                <w:szCs w:val="18"/>
              </w:rPr>
            </w:pPr>
            <w:r>
              <w:rPr>
                <w:rFonts w:hint="eastAsia" w:cs="Times New Roman"/>
                <w:color w:val="auto"/>
                <w:kern w:val="0"/>
                <w:sz w:val="18"/>
                <w:szCs w:val="18"/>
              </w:rPr>
              <w:t>按照本指南5.2.4执行</w:t>
            </w:r>
          </w:p>
        </w:tc>
        <w:tc>
          <w:tcPr>
            <w:tcW w:w="548" w:type="pct"/>
            <w:vAlign w:val="center"/>
          </w:tcPr>
          <w:p>
            <w:pPr>
              <w:kinsoku w:val="0"/>
              <w:overflowPunct w:val="0"/>
              <w:autoSpaceDE w:val="0"/>
              <w:autoSpaceDN w:val="0"/>
              <w:adjustRightInd w:val="0"/>
              <w:spacing w:line="300" w:lineRule="auto"/>
              <w:jc w:val="center"/>
              <w:rPr>
                <w:rFonts w:cs="Times New Roman"/>
                <w:color w:val="auto"/>
                <w:kern w:val="0"/>
                <w:sz w:val="18"/>
                <w:szCs w:val="18"/>
              </w:rPr>
            </w:pPr>
          </w:p>
        </w:tc>
        <w:tc>
          <w:tcPr>
            <w:tcW w:w="624" w:type="pct"/>
            <w:gridSpan w:val="2"/>
            <w:vAlign w:val="center"/>
          </w:tcPr>
          <w:p>
            <w:pPr>
              <w:kinsoku w:val="0"/>
              <w:overflowPunct w:val="0"/>
              <w:autoSpaceDE w:val="0"/>
              <w:autoSpaceDN w:val="0"/>
              <w:adjustRightInd w:val="0"/>
              <w:spacing w:line="300" w:lineRule="auto"/>
              <w:jc w:val="center"/>
              <w:rPr>
                <w:rFonts w:cs="Times New Roman"/>
                <w:color w:val="auto"/>
                <w:kern w:val="0"/>
                <w:sz w:val="18"/>
                <w:szCs w:val="18"/>
              </w:rPr>
            </w:pPr>
          </w:p>
        </w:tc>
        <w:tc>
          <w:tcPr>
            <w:tcW w:w="547" w:type="pct"/>
            <w:vAlign w:val="center"/>
          </w:tcPr>
          <w:p>
            <w:pPr>
              <w:kinsoku w:val="0"/>
              <w:overflowPunct w:val="0"/>
              <w:autoSpaceDE w:val="0"/>
              <w:autoSpaceDN w:val="0"/>
              <w:adjustRightInd w:val="0"/>
              <w:spacing w:line="300" w:lineRule="auto"/>
              <w:jc w:val="center"/>
              <w:rPr>
                <w:rFonts w:cs="Times New Roman"/>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1974" w:type="pct"/>
            <w:gridSpan w:val="6"/>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受力预埋件抗拔、抗剪性能</w:t>
            </w:r>
          </w:p>
        </w:tc>
        <w:tc>
          <w:tcPr>
            <w:tcW w:w="702" w:type="pct"/>
            <w:vAlign w:val="center"/>
          </w:tcPr>
          <w:p>
            <w:pPr>
              <w:kinsoku w:val="0"/>
              <w:overflowPunct w:val="0"/>
              <w:autoSpaceDE w:val="0"/>
              <w:autoSpaceDN w:val="0"/>
              <w:adjustRightInd w:val="0"/>
              <w:spacing w:line="300" w:lineRule="auto"/>
              <w:jc w:val="center"/>
              <w:rPr>
                <w:rFonts w:cs="Times New Roman"/>
                <w:color w:val="auto"/>
                <w:kern w:val="0"/>
                <w:sz w:val="18"/>
                <w:szCs w:val="18"/>
              </w:rPr>
            </w:pPr>
            <w:r>
              <w:rPr>
                <w:rFonts w:hint="eastAsia" w:cs="Times New Roman"/>
                <w:color w:val="auto"/>
                <w:kern w:val="0"/>
                <w:sz w:val="18"/>
                <w:szCs w:val="18"/>
              </w:rPr>
              <w:t>按照本指南5.2.4执行</w:t>
            </w:r>
          </w:p>
        </w:tc>
        <w:tc>
          <w:tcPr>
            <w:tcW w:w="548" w:type="pct"/>
            <w:vAlign w:val="center"/>
          </w:tcPr>
          <w:p>
            <w:pPr>
              <w:kinsoku w:val="0"/>
              <w:overflowPunct w:val="0"/>
              <w:autoSpaceDE w:val="0"/>
              <w:autoSpaceDN w:val="0"/>
              <w:adjustRightInd w:val="0"/>
              <w:spacing w:line="300" w:lineRule="auto"/>
              <w:jc w:val="center"/>
              <w:rPr>
                <w:rFonts w:cs="Times New Roman"/>
                <w:color w:val="auto"/>
                <w:kern w:val="0"/>
                <w:sz w:val="18"/>
                <w:szCs w:val="18"/>
              </w:rPr>
            </w:pPr>
          </w:p>
        </w:tc>
        <w:tc>
          <w:tcPr>
            <w:tcW w:w="624" w:type="pct"/>
            <w:gridSpan w:val="2"/>
            <w:vAlign w:val="center"/>
          </w:tcPr>
          <w:p>
            <w:pPr>
              <w:kinsoku w:val="0"/>
              <w:overflowPunct w:val="0"/>
              <w:autoSpaceDE w:val="0"/>
              <w:autoSpaceDN w:val="0"/>
              <w:adjustRightInd w:val="0"/>
              <w:spacing w:line="300" w:lineRule="auto"/>
              <w:jc w:val="center"/>
              <w:rPr>
                <w:rFonts w:cs="Times New Roman"/>
                <w:color w:val="auto"/>
                <w:kern w:val="0"/>
                <w:sz w:val="18"/>
                <w:szCs w:val="18"/>
              </w:rPr>
            </w:pPr>
          </w:p>
        </w:tc>
        <w:tc>
          <w:tcPr>
            <w:tcW w:w="547" w:type="pct"/>
            <w:vAlign w:val="center"/>
          </w:tcPr>
          <w:p>
            <w:pPr>
              <w:kinsoku w:val="0"/>
              <w:overflowPunct w:val="0"/>
              <w:autoSpaceDE w:val="0"/>
              <w:autoSpaceDN w:val="0"/>
              <w:adjustRightInd w:val="0"/>
              <w:spacing w:line="300" w:lineRule="auto"/>
              <w:jc w:val="center"/>
              <w:rPr>
                <w:rFonts w:cs="Times New Roman"/>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一般项目</w:t>
            </w:r>
          </w:p>
        </w:tc>
        <w:tc>
          <w:tcPr>
            <w:tcW w:w="231"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567"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预埋钢板</w:t>
            </w: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中心线位置（mm）</w:t>
            </w:r>
          </w:p>
        </w:tc>
        <w:tc>
          <w:tcPr>
            <w:tcW w:w="470"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楼板、墙板、梁、柱</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67"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平面高差（mm）</w:t>
            </w:r>
          </w:p>
        </w:tc>
        <w:tc>
          <w:tcPr>
            <w:tcW w:w="47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0，-5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567"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预埋螺栓</w:t>
            </w: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中心线位置（mm）</w:t>
            </w:r>
          </w:p>
        </w:tc>
        <w:tc>
          <w:tcPr>
            <w:tcW w:w="47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67"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平面高差（mm）</w:t>
            </w:r>
          </w:p>
        </w:tc>
        <w:tc>
          <w:tcPr>
            <w:tcW w:w="47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+10，-5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3</w:t>
            </w:r>
          </w:p>
        </w:tc>
        <w:tc>
          <w:tcPr>
            <w:tcW w:w="567"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预埋套</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筒、螺母</w:t>
            </w: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中心线位置（mm）</w:t>
            </w:r>
          </w:p>
        </w:tc>
        <w:tc>
          <w:tcPr>
            <w:tcW w:w="470"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墙板</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67"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平面高差（mm）</w:t>
            </w:r>
          </w:p>
        </w:tc>
        <w:tc>
          <w:tcPr>
            <w:tcW w:w="47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0，-5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4</w:t>
            </w:r>
          </w:p>
        </w:tc>
        <w:tc>
          <w:tcPr>
            <w:tcW w:w="567"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预留孔</w:t>
            </w: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中心线位置（mm）</w:t>
            </w:r>
          </w:p>
        </w:tc>
        <w:tc>
          <w:tcPr>
            <w:tcW w:w="470"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楼板、墙板、梁、柱</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67"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孔尺寸（mm）</w:t>
            </w:r>
          </w:p>
        </w:tc>
        <w:tc>
          <w:tcPr>
            <w:tcW w:w="47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567"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预留洞</w:t>
            </w: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中心线位置（mm）</w:t>
            </w:r>
          </w:p>
        </w:tc>
        <w:tc>
          <w:tcPr>
            <w:tcW w:w="47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67"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洞口尺寸、深度（mm）</w:t>
            </w:r>
          </w:p>
        </w:tc>
        <w:tc>
          <w:tcPr>
            <w:tcW w:w="47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6</w:t>
            </w:r>
          </w:p>
        </w:tc>
        <w:tc>
          <w:tcPr>
            <w:tcW w:w="567"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预留钢筋</w:t>
            </w: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中心线位置（mm）</w:t>
            </w:r>
          </w:p>
        </w:tc>
        <w:tc>
          <w:tcPr>
            <w:tcW w:w="47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3</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67"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937" w:type="pct"/>
            <w:gridSpan w:val="3"/>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外露长度（mm）</w:t>
            </w:r>
          </w:p>
        </w:tc>
        <w:tc>
          <w:tcPr>
            <w:tcW w:w="47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7</w:t>
            </w:r>
          </w:p>
        </w:tc>
        <w:tc>
          <w:tcPr>
            <w:tcW w:w="567"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预埋吊环</w:t>
            </w:r>
          </w:p>
        </w:tc>
        <w:tc>
          <w:tcPr>
            <w:tcW w:w="937" w:type="pct"/>
            <w:gridSpan w:val="3"/>
          </w:tcPr>
          <w:p>
            <w:pPr>
              <w:pStyle w:val="117"/>
              <w:kinsoku w:val="0"/>
              <w:overflowPunct w:val="0"/>
              <w:spacing w:line="300" w:lineRule="auto"/>
              <w:jc w:val="center"/>
              <w:rPr>
                <w:color w:val="auto"/>
                <w:sz w:val="18"/>
                <w:szCs w:val="18"/>
              </w:rPr>
            </w:pPr>
            <w:r>
              <w:rPr>
                <w:rFonts w:hint="eastAsia"/>
                <w:color w:val="auto"/>
                <w:sz w:val="18"/>
                <w:szCs w:val="18"/>
              </w:rPr>
              <w:t>中心线位置（mm）</w:t>
            </w:r>
          </w:p>
        </w:tc>
        <w:tc>
          <w:tcPr>
            <w:tcW w:w="470"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楼板、墙板、梁、柱</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10</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67"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937" w:type="pct"/>
            <w:gridSpan w:val="3"/>
          </w:tcPr>
          <w:p>
            <w:pPr>
              <w:rPr>
                <w:color w:val="auto"/>
                <w:sz w:val="18"/>
                <w:szCs w:val="18"/>
              </w:rPr>
            </w:pPr>
            <w:r>
              <w:rPr>
                <w:rFonts w:hint="eastAsia"/>
                <w:color w:val="auto"/>
                <w:sz w:val="18"/>
                <w:szCs w:val="18"/>
              </w:rPr>
              <w:t>留出高度（mm）</w:t>
            </w:r>
          </w:p>
        </w:tc>
        <w:tc>
          <w:tcPr>
            <w:tcW w:w="47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0，-10</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8</w:t>
            </w:r>
          </w:p>
        </w:tc>
        <w:tc>
          <w:tcPr>
            <w:tcW w:w="567"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预埋套管</w:t>
            </w:r>
          </w:p>
        </w:tc>
        <w:tc>
          <w:tcPr>
            <w:tcW w:w="140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中心线位置</w:t>
            </w:r>
            <w:r>
              <w:rPr>
                <w:rFonts w:hint="eastAsia" w:ascii="Times New Roman" w:cs="Times New Roman"/>
                <w:color w:val="auto"/>
                <w:sz w:val="18"/>
                <w:szCs w:val="18"/>
              </w:rPr>
              <w:t>（mm）</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67"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40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与混凝土面平面高差</w:t>
            </w:r>
            <w:r>
              <w:rPr>
                <w:rFonts w:hint="eastAsia" w:ascii="Times New Roman" w:cs="Times New Roman"/>
                <w:color w:val="auto"/>
                <w:sz w:val="18"/>
                <w:szCs w:val="18"/>
              </w:rPr>
              <w:t>（mm）</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5，10</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9</w:t>
            </w:r>
          </w:p>
        </w:tc>
        <w:tc>
          <w:tcPr>
            <w:tcW w:w="567"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预埋线盒</w:t>
            </w:r>
          </w:p>
        </w:tc>
        <w:tc>
          <w:tcPr>
            <w:tcW w:w="140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中心线位置</w:t>
            </w:r>
            <w:r>
              <w:rPr>
                <w:rFonts w:hint="eastAsia" w:ascii="Times New Roman" w:cs="Times New Roman"/>
                <w:color w:val="auto"/>
                <w:sz w:val="18"/>
                <w:szCs w:val="18"/>
              </w:rPr>
              <w:t>（mm）</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10</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67"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40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与混凝土面平面高差</w:t>
            </w:r>
            <w:r>
              <w:rPr>
                <w:rFonts w:hint="eastAsia" w:ascii="Times New Roman" w:cs="Times New Roman"/>
                <w:color w:val="auto"/>
                <w:sz w:val="18"/>
                <w:szCs w:val="18"/>
              </w:rPr>
              <w:t>（mm）</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0，-5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4"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31"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10</w:t>
            </w:r>
          </w:p>
        </w:tc>
        <w:tc>
          <w:tcPr>
            <w:tcW w:w="567"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预埋线管</w:t>
            </w:r>
          </w:p>
        </w:tc>
        <w:tc>
          <w:tcPr>
            <w:tcW w:w="140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管口外露长度</w:t>
            </w:r>
            <w:r>
              <w:rPr>
                <w:rFonts w:hint="eastAsia" w:ascii="Times New Roman" w:cs="Times New Roman"/>
                <w:color w:val="auto"/>
                <w:sz w:val="18"/>
                <w:szCs w:val="18"/>
              </w:rPr>
              <w:t>（mm）</w:t>
            </w:r>
          </w:p>
        </w:tc>
        <w:tc>
          <w:tcPr>
            <w:tcW w:w="702"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548" w:type="pct"/>
            <w:vAlign w:val="center"/>
          </w:tcPr>
          <w:p>
            <w:pPr>
              <w:pStyle w:val="117"/>
              <w:kinsoku w:val="0"/>
              <w:overflowPunct w:val="0"/>
              <w:spacing w:line="300" w:lineRule="auto"/>
              <w:jc w:val="center"/>
              <w:rPr>
                <w:rFonts w:ascii="Times New Roman" w:cs="Times New Roman"/>
                <w:color w:val="auto"/>
                <w:sz w:val="18"/>
                <w:szCs w:val="18"/>
              </w:rPr>
            </w:pPr>
          </w:p>
        </w:tc>
        <w:tc>
          <w:tcPr>
            <w:tcW w:w="624"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4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55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c>
          <w:tcPr>
            <w:tcW w:w="3449" w:type="pct"/>
            <w:gridSpan w:val="8"/>
            <w:vAlign w:val="center"/>
          </w:tcPr>
          <w:p>
            <w:pPr>
              <w:pStyle w:val="117"/>
              <w:kinsoku w:val="0"/>
              <w:overflowPunct w:val="0"/>
              <w:spacing w:line="300" w:lineRule="auto"/>
              <w:ind w:right="455"/>
              <w:rPr>
                <w:rFonts w:ascii="Times New Roman" w:cs="Times New Roman"/>
                <w:color w:val="auto"/>
                <w:sz w:val="18"/>
                <w:szCs w:val="18"/>
              </w:rPr>
            </w:pPr>
          </w:p>
          <w:p>
            <w:pPr>
              <w:pStyle w:val="117"/>
              <w:kinsoku w:val="0"/>
              <w:overflowPunct w:val="0"/>
              <w:spacing w:line="300" w:lineRule="auto"/>
              <w:ind w:right="455"/>
              <w:rPr>
                <w:rFonts w:ascii="Times New Roman" w:cs="Times New Roman"/>
                <w:color w:val="auto"/>
                <w:sz w:val="18"/>
                <w:szCs w:val="18"/>
              </w:rPr>
            </w:pPr>
            <w:r>
              <w:rPr>
                <w:rFonts w:ascii="Times New Roman" w:cs="Times New Roman"/>
                <w:color w:val="auto"/>
                <w:sz w:val="18"/>
                <w:szCs w:val="18"/>
              </w:rPr>
              <w:t>专业工长：          项目专业质量检查员：</w:t>
            </w:r>
            <w:r>
              <w:rPr>
                <w:rFonts w:hint="eastAsia" w:ascii="Times New Roman" w:cs="Times New Roman"/>
                <w:color w:val="auto"/>
                <w:sz w:val="18"/>
                <w:szCs w:val="18"/>
              </w:rPr>
              <w:t xml:space="preserve">      </w:t>
            </w:r>
            <w:r>
              <w:rPr>
                <w:rFonts w:ascii="Times New Roman" w:cs="Times New Roman"/>
                <w:color w:val="auto"/>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 w:hRule="exact"/>
        </w:trPr>
        <w:tc>
          <w:tcPr>
            <w:tcW w:w="155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监理</w:t>
            </w:r>
            <w:r>
              <w:rPr>
                <w:rFonts w:hint="eastAsia" w:ascii="Times New Roman" w:cs="Times New Roman"/>
                <w:color w:val="auto"/>
                <w:sz w:val="18"/>
                <w:szCs w:val="18"/>
              </w:rPr>
              <w:t>（建设）</w:t>
            </w:r>
            <w:r>
              <w:rPr>
                <w:rFonts w:ascii="Times New Roman" w:cs="Times New Roman"/>
                <w:color w:val="auto"/>
                <w:sz w:val="18"/>
                <w:szCs w:val="18"/>
              </w:rPr>
              <w:t>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验收结论</w:t>
            </w:r>
          </w:p>
        </w:tc>
        <w:tc>
          <w:tcPr>
            <w:tcW w:w="3449" w:type="pct"/>
            <w:gridSpan w:val="8"/>
            <w:vAlign w:val="center"/>
          </w:tcPr>
          <w:p>
            <w:pPr>
              <w:pStyle w:val="117"/>
              <w:kinsoku w:val="0"/>
              <w:overflowPunct w:val="0"/>
              <w:spacing w:before="240" w:after="240" w:line="300" w:lineRule="auto"/>
              <w:rPr>
                <w:rFonts w:ascii="Times New Roman" w:cs="Times New Roman"/>
                <w:color w:val="auto"/>
                <w:sz w:val="18"/>
                <w:szCs w:val="18"/>
              </w:rPr>
            </w:pPr>
          </w:p>
          <w:p>
            <w:pPr>
              <w:pStyle w:val="117"/>
              <w:kinsoku w:val="0"/>
              <w:overflowPunct w:val="0"/>
              <w:spacing w:before="240" w:after="240" w:line="300" w:lineRule="auto"/>
              <w:rPr>
                <w:rFonts w:ascii="Times New Roman" w:eastAsia="黑体" w:cs="Times New Roman"/>
                <w:color w:val="auto"/>
                <w:sz w:val="18"/>
                <w:szCs w:val="18"/>
              </w:rPr>
            </w:pPr>
            <w:r>
              <w:rPr>
                <w:rFonts w:ascii="Times New Roman" w:cs="Times New Roman"/>
                <w:color w:val="auto"/>
                <w:sz w:val="18"/>
                <w:szCs w:val="18"/>
              </w:rPr>
              <w:t>专业监理工程师</w:t>
            </w:r>
            <w:r>
              <w:rPr>
                <w:rFonts w:hint="eastAsia" w:ascii="Times New Roman" w:cs="Times New Roman"/>
                <w:color w:val="auto"/>
                <w:sz w:val="18"/>
                <w:szCs w:val="18"/>
              </w:rPr>
              <w:t>（建设单位项目负责人）</w:t>
            </w:r>
            <w:r>
              <w:rPr>
                <w:rFonts w:ascii="Times New Roman" w:cs="Times New Roman"/>
                <w:color w:val="auto"/>
                <w:sz w:val="18"/>
                <w:szCs w:val="18"/>
              </w:rPr>
              <w:t>：</w:t>
            </w:r>
            <w:r>
              <w:rPr>
                <w:rFonts w:hint="eastAsia" w:ascii="Times New Roman" w:cs="Times New Roman"/>
                <w:color w:val="auto"/>
                <w:sz w:val="18"/>
                <w:szCs w:val="18"/>
              </w:rPr>
              <w:t xml:space="preserve">          </w:t>
            </w:r>
            <w:r>
              <w:rPr>
                <w:rFonts w:ascii="Times New Roman" w:cs="Times New Roman"/>
                <w:color w:val="auto"/>
                <w:sz w:val="18"/>
                <w:szCs w:val="18"/>
              </w:rPr>
              <w:t>年   月   日</w:t>
            </w:r>
          </w:p>
        </w:tc>
      </w:tr>
    </w:tbl>
    <w:p>
      <w:pPr>
        <w:pStyle w:val="16"/>
        <w:numPr>
          <w:ilvl w:val="2"/>
          <w:numId w:val="0"/>
        </w:numPr>
        <w:tabs>
          <w:tab w:val="left" w:pos="4155"/>
          <w:tab w:val="clear" w:pos="432"/>
        </w:tabs>
        <w:kinsoku w:val="0"/>
        <w:overflowPunct w:val="0"/>
        <w:spacing w:before="83" w:line="300" w:lineRule="auto"/>
        <w:rPr>
          <w:rFonts w:cs="Times New Roman"/>
          <w:color w:val="auto"/>
          <w:sz w:val="24"/>
        </w:rPr>
      </w:pPr>
      <w:r>
        <w:rPr>
          <w:rFonts w:cs="Times New Roman"/>
          <w:color w:val="auto"/>
          <w:sz w:val="24"/>
        </w:rPr>
        <w:br w:type="page"/>
      </w:r>
    </w:p>
    <w:p>
      <w:pPr>
        <w:pStyle w:val="16"/>
        <w:numPr>
          <w:ilvl w:val="2"/>
          <w:numId w:val="0"/>
        </w:numPr>
        <w:tabs>
          <w:tab w:val="left" w:pos="4155"/>
          <w:tab w:val="clear" w:pos="432"/>
        </w:tabs>
        <w:kinsoku w:val="0"/>
        <w:overflowPunct w:val="0"/>
        <w:spacing w:before="83" w:line="300" w:lineRule="auto"/>
        <w:rPr>
          <w:rFonts w:cs="Times New Roman"/>
          <w:color w:val="auto"/>
          <w:sz w:val="24"/>
        </w:rPr>
      </w:pPr>
      <w:r>
        <w:rPr>
          <w:rFonts w:cs="Times New Roman"/>
          <w:color w:val="auto"/>
          <w:sz w:val="24"/>
        </w:rPr>
        <w:t>A.5尺寸偏差检验批质量验收记录表</w:t>
      </w:r>
    </w:p>
    <w:tbl>
      <w:tblPr>
        <w:tblStyle w:val="3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429"/>
        <w:gridCol w:w="538"/>
        <w:gridCol w:w="194"/>
        <w:gridCol w:w="576"/>
        <w:gridCol w:w="422"/>
        <w:gridCol w:w="184"/>
        <w:gridCol w:w="20"/>
        <w:gridCol w:w="1089"/>
        <w:gridCol w:w="329"/>
        <w:gridCol w:w="1085"/>
        <w:gridCol w:w="330"/>
        <w:gridCol w:w="801"/>
        <w:gridCol w:w="617"/>
        <w:gridCol w:w="373"/>
        <w:gridCol w:w="10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63"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单位（子单位）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806" w:type="pct"/>
            <w:gridSpan w:val="5"/>
            <w:vAlign w:val="center"/>
          </w:tcPr>
          <w:p>
            <w:pPr>
              <w:pStyle w:val="117"/>
              <w:kinsoku w:val="0"/>
              <w:overflowPunct w:val="0"/>
              <w:spacing w:line="300" w:lineRule="auto"/>
              <w:jc w:val="center"/>
              <w:rPr>
                <w:rFonts w:ascii="Times New Roman" w:cs="Times New Roman"/>
                <w:color w:val="auto"/>
                <w:sz w:val="18"/>
                <w:szCs w:val="18"/>
              </w:rPr>
            </w:pP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分部（子分部）</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83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分项工程名称</w:t>
            </w:r>
          </w:p>
        </w:tc>
        <w:tc>
          <w:tcPr>
            <w:tcW w:w="830"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63"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tc>
        <w:tc>
          <w:tcPr>
            <w:tcW w:w="806" w:type="pct"/>
            <w:gridSpan w:val="5"/>
            <w:vAlign w:val="center"/>
          </w:tcPr>
          <w:p>
            <w:pPr>
              <w:pStyle w:val="117"/>
              <w:kinsoku w:val="0"/>
              <w:overflowPunct w:val="0"/>
              <w:spacing w:line="300" w:lineRule="auto"/>
              <w:jc w:val="center"/>
              <w:rPr>
                <w:rFonts w:ascii="Times New Roman" w:cs="Times New Roman"/>
                <w:color w:val="auto"/>
                <w:sz w:val="18"/>
                <w:szCs w:val="18"/>
              </w:rPr>
            </w:pP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83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检验批容量</w:t>
            </w:r>
          </w:p>
        </w:tc>
        <w:tc>
          <w:tcPr>
            <w:tcW w:w="830"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63"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构件生产单位</w:t>
            </w:r>
          </w:p>
        </w:tc>
        <w:tc>
          <w:tcPr>
            <w:tcW w:w="806" w:type="pct"/>
            <w:gridSpan w:val="5"/>
            <w:vAlign w:val="center"/>
          </w:tcPr>
          <w:p>
            <w:pPr>
              <w:pStyle w:val="117"/>
              <w:kinsoku w:val="0"/>
              <w:overflowPunct w:val="0"/>
              <w:spacing w:line="300" w:lineRule="auto"/>
              <w:jc w:val="center"/>
              <w:rPr>
                <w:rFonts w:ascii="Times New Roman" w:cs="Times New Roman"/>
                <w:color w:val="auto"/>
                <w:sz w:val="18"/>
                <w:szCs w:val="18"/>
              </w:rPr>
            </w:pP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83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834"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检验批部位</w:t>
            </w:r>
          </w:p>
        </w:tc>
        <w:tc>
          <w:tcPr>
            <w:tcW w:w="830"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63"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施工依据</w:t>
            </w:r>
          </w:p>
        </w:tc>
        <w:tc>
          <w:tcPr>
            <w:tcW w:w="2278" w:type="pct"/>
            <w:gridSpan w:val="8"/>
            <w:vAlign w:val="center"/>
          </w:tcPr>
          <w:p>
            <w:pPr>
              <w:pStyle w:val="117"/>
              <w:kinsoku w:val="0"/>
              <w:overflowPunct w:val="0"/>
              <w:spacing w:line="300" w:lineRule="auto"/>
              <w:jc w:val="center"/>
              <w:rPr>
                <w:rFonts w:ascii="Times New Roman" w:cs="Times New Roman"/>
                <w:color w:val="auto"/>
                <w:sz w:val="18"/>
                <w:szCs w:val="18"/>
              </w:rPr>
            </w:pP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验收依据</w:t>
            </w:r>
          </w:p>
        </w:tc>
        <w:tc>
          <w:tcPr>
            <w:tcW w:w="1193" w:type="pct"/>
            <w:gridSpan w:val="3"/>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09" w:type="pct"/>
            <w:gridSpan w:val="9"/>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验收项目</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设计要求及规范规定</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最小/实际</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抽样数量</w:t>
            </w: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检查记录</w:t>
            </w:r>
          </w:p>
        </w:tc>
        <w:tc>
          <w:tcPr>
            <w:tcW w:w="610"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主控项目</w:t>
            </w:r>
          </w:p>
        </w:tc>
        <w:tc>
          <w:tcPr>
            <w:tcW w:w="253"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1762" w:type="pct"/>
            <w:gridSpan w:val="7"/>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连接钢筋中心线位置</w:t>
            </w:r>
            <w:r>
              <w:rPr>
                <w:rFonts w:hint="eastAsia" w:ascii="Times New Roman" w:cs="Times New Roman"/>
                <w:color w:val="auto"/>
                <w:sz w:val="18"/>
                <w:szCs w:val="18"/>
              </w:rPr>
              <w:t>(mm)</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666" w:type="pct"/>
            <w:gridSpan w:val="2"/>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583" w:type="pct"/>
            <w:gridSpan w:val="2"/>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610" w:type="pct"/>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1762" w:type="pct"/>
            <w:gridSpan w:val="7"/>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连接钢筋外露长度</w:t>
            </w:r>
            <w:r>
              <w:rPr>
                <w:rFonts w:hint="eastAsia" w:ascii="Times New Roman" w:cs="Times New Roman"/>
                <w:color w:val="auto"/>
                <w:sz w:val="18"/>
                <w:szCs w:val="18"/>
              </w:rPr>
              <w:t>(mm)</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+10，0</w:t>
            </w:r>
          </w:p>
        </w:tc>
        <w:tc>
          <w:tcPr>
            <w:tcW w:w="666" w:type="pct"/>
            <w:gridSpan w:val="2"/>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583" w:type="pct"/>
            <w:gridSpan w:val="2"/>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610" w:type="pct"/>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3</w:t>
            </w:r>
          </w:p>
        </w:tc>
        <w:tc>
          <w:tcPr>
            <w:tcW w:w="1762" w:type="pct"/>
            <w:gridSpan w:val="7"/>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灌浆套筒中心线位置</w:t>
            </w:r>
            <w:r>
              <w:rPr>
                <w:rFonts w:hint="eastAsia" w:ascii="Times New Roman" w:cs="Times New Roman"/>
                <w:color w:val="auto"/>
                <w:sz w:val="18"/>
                <w:szCs w:val="18"/>
              </w:rPr>
              <w:t>(mm)</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666" w:type="pct"/>
            <w:gridSpan w:val="2"/>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583" w:type="pct"/>
            <w:gridSpan w:val="2"/>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610" w:type="pct"/>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一般项目</w:t>
            </w:r>
          </w:p>
        </w:tc>
        <w:tc>
          <w:tcPr>
            <w:tcW w:w="253" w:type="pct"/>
            <w:vMerge w:val="restart"/>
            <w:vAlign w:val="center"/>
          </w:tcPr>
          <w:p>
            <w:pPr>
              <w:kinsoku w:val="0"/>
              <w:overflowPunct w:val="0"/>
              <w:autoSpaceDE w:val="0"/>
              <w:autoSpaceDN w:val="0"/>
              <w:adjustRightInd w:val="0"/>
              <w:spacing w:line="300" w:lineRule="auto"/>
              <w:jc w:val="center"/>
              <w:rPr>
                <w:rFonts w:cs="Times New Roman"/>
                <w:color w:val="auto"/>
                <w:kern w:val="0"/>
                <w:sz w:val="18"/>
                <w:szCs w:val="18"/>
              </w:rPr>
            </w:pPr>
            <w:r>
              <w:rPr>
                <w:rFonts w:cs="Times New Roman"/>
                <w:color w:val="auto"/>
                <w:kern w:val="0"/>
                <w:sz w:val="18"/>
                <w:szCs w:val="18"/>
              </w:rPr>
              <w:t>1</w:t>
            </w:r>
          </w:p>
        </w:tc>
        <w:tc>
          <w:tcPr>
            <w:tcW w:w="432" w:type="pct"/>
            <w:gridSpan w:val="2"/>
            <w:vMerge w:val="restart"/>
            <w:vAlign w:val="center"/>
          </w:tcPr>
          <w:p>
            <w:pPr>
              <w:kinsoku w:val="0"/>
              <w:overflowPunct w:val="0"/>
              <w:autoSpaceDE w:val="0"/>
              <w:autoSpaceDN w:val="0"/>
              <w:adjustRightInd w:val="0"/>
              <w:spacing w:line="300" w:lineRule="auto"/>
              <w:jc w:val="center"/>
              <w:rPr>
                <w:rFonts w:cs="Times New Roman"/>
                <w:color w:val="auto"/>
                <w:kern w:val="0"/>
                <w:sz w:val="18"/>
                <w:szCs w:val="18"/>
              </w:rPr>
            </w:pPr>
            <w:r>
              <w:rPr>
                <w:rFonts w:cs="Times New Roman"/>
                <w:color w:val="auto"/>
                <w:kern w:val="0"/>
                <w:sz w:val="18"/>
                <w:szCs w:val="18"/>
              </w:rPr>
              <w:t>长度</w:t>
            </w:r>
            <w:r>
              <w:rPr>
                <w:rFonts w:hint="eastAsia" w:cs="Times New Roman"/>
                <w:color w:val="auto"/>
                <w:sz w:val="18"/>
                <w:szCs w:val="18"/>
              </w:rPr>
              <w:t>(mm)</w:t>
            </w:r>
          </w:p>
        </w:tc>
        <w:tc>
          <w:tcPr>
            <w:tcW w:w="320" w:type="pct"/>
            <w:vMerge w:val="restart"/>
            <w:vAlign w:val="center"/>
          </w:tcPr>
          <w:p>
            <w:pPr>
              <w:kinsoku w:val="0"/>
              <w:overflowPunct w:val="0"/>
              <w:autoSpaceDE w:val="0"/>
              <w:autoSpaceDN w:val="0"/>
              <w:adjustRightInd w:val="0"/>
              <w:spacing w:line="300" w:lineRule="auto"/>
              <w:jc w:val="center"/>
              <w:rPr>
                <w:rFonts w:cs="Times New Roman"/>
                <w:color w:val="auto"/>
                <w:kern w:val="0"/>
                <w:sz w:val="18"/>
                <w:szCs w:val="18"/>
              </w:rPr>
            </w:pPr>
            <w:r>
              <w:rPr>
                <w:rFonts w:cs="Times New Roman"/>
                <w:color w:val="auto"/>
                <w:kern w:val="0"/>
                <w:sz w:val="18"/>
                <w:szCs w:val="18"/>
              </w:rPr>
              <w:t>楼板、梁、柱</w:t>
            </w:r>
          </w:p>
        </w:tc>
        <w:tc>
          <w:tcPr>
            <w:tcW w:w="1011" w:type="pct"/>
            <w:gridSpan w:val="4"/>
            <w:vAlign w:val="center"/>
          </w:tcPr>
          <w:p>
            <w:pPr>
              <w:kinsoku w:val="0"/>
              <w:overflowPunct w:val="0"/>
              <w:autoSpaceDE w:val="0"/>
              <w:autoSpaceDN w:val="0"/>
              <w:adjustRightInd w:val="0"/>
              <w:spacing w:line="300" w:lineRule="auto"/>
              <w:jc w:val="center"/>
              <w:rPr>
                <w:rFonts w:cs="Times New Roman"/>
                <w:color w:val="auto"/>
                <w:kern w:val="0"/>
                <w:sz w:val="18"/>
                <w:szCs w:val="18"/>
              </w:rPr>
            </w:pPr>
            <w:r>
              <w:rPr>
                <w:rFonts w:cs="Times New Roman"/>
                <w:color w:val="auto"/>
                <w:kern w:val="0"/>
                <w:sz w:val="18"/>
                <w:szCs w:val="18"/>
              </w:rPr>
              <w:t>＜12m</w:t>
            </w:r>
          </w:p>
        </w:tc>
        <w:tc>
          <w:tcPr>
            <w:tcW w:w="832" w:type="pct"/>
            <w:gridSpan w:val="2"/>
            <w:vAlign w:val="center"/>
          </w:tcPr>
          <w:p>
            <w:pPr>
              <w:kinsoku w:val="0"/>
              <w:overflowPunct w:val="0"/>
              <w:autoSpaceDE w:val="0"/>
              <w:autoSpaceDN w:val="0"/>
              <w:adjustRightInd w:val="0"/>
              <w:spacing w:line="300" w:lineRule="auto"/>
              <w:jc w:val="center"/>
              <w:rPr>
                <w:rFonts w:cs="Times New Roman"/>
                <w:color w:val="auto"/>
                <w:kern w:val="0"/>
                <w:sz w:val="18"/>
                <w:szCs w:val="18"/>
              </w:rPr>
            </w:pPr>
            <w:r>
              <w:rPr>
                <w:rFonts w:cs="Times New Roman"/>
                <w:color w:val="auto"/>
                <w:kern w:val="0"/>
                <w:sz w:val="18"/>
                <w:szCs w:val="18"/>
              </w:rPr>
              <w:t>±5</w:t>
            </w:r>
          </w:p>
        </w:tc>
        <w:tc>
          <w:tcPr>
            <w:tcW w:w="666" w:type="pct"/>
            <w:gridSpan w:val="2"/>
            <w:vAlign w:val="center"/>
          </w:tcPr>
          <w:p>
            <w:pPr>
              <w:kinsoku w:val="0"/>
              <w:overflowPunct w:val="0"/>
              <w:autoSpaceDE w:val="0"/>
              <w:autoSpaceDN w:val="0"/>
              <w:adjustRightInd w:val="0"/>
              <w:spacing w:line="300" w:lineRule="auto"/>
              <w:jc w:val="center"/>
              <w:rPr>
                <w:rFonts w:cs="Times New Roman"/>
                <w:color w:val="auto"/>
                <w:kern w:val="0"/>
                <w:sz w:val="18"/>
                <w:szCs w:val="18"/>
              </w:rPr>
            </w:pPr>
          </w:p>
        </w:tc>
        <w:tc>
          <w:tcPr>
            <w:tcW w:w="583" w:type="pct"/>
            <w:gridSpan w:val="2"/>
            <w:vAlign w:val="center"/>
          </w:tcPr>
          <w:p>
            <w:pPr>
              <w:kinsoku w:val="0"/>
              <w:overflowPunct w:val="0"/>
              <w:autoSpaceDE w:val="0"/>
              <w:autoSpaceDN w:val="0"/>
              <w:adjustRightInd w:val="0"/>
              <w:spacing w:line="300" w:lineRule="auto"/>
              <w:jc w:val="center"/>
              <w:rPr>
                <w:rFonts w:cs="Times New Roman"/>
                <w:color w:val="auto"/>
                <w:kern w:val="0"/>
                <w:sz w:val="18"/>
                <w:szCs w:val="18"/>
              </w:rPr>
            </w:pPr>
          </w:p>
        </w:tc>
        <w:tc>
          <w:tcPr>
            <w:tcW w:w="610" w:type="pct"/>
            <w:vAlign w:val="center"/>
          </w:tcPr>
          <w:p>
            <w:pPr>
              <w:kinsoku w:val="0"/>
              <w:overflowPunct w:val="0"/>
              <w:autoSpaceDE w:val="0"/>
              <w:autoSpaceDN w:val="0"/>
              <w:adjustRightInd w:val="0"/>
              <w:spacing w:line="300" w:lineRule="auto"/>
              <w:jc w:val="center"/>
              <w:rPr>
                <w:rFonts w:cs="Times New Roman"/>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32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011"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≥12m 且＜18m</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±10</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320"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011"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≥18m</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±20</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阳台板、空调板、楼梯</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432"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宽度</w:t>
            </w:r>
            <w:r>
              <w:rPr>
                <w:rFonts w:hint="eastAsia" w:ascii="Times New Roman" w:cs="Times New Roman"/>
                <w:color w:val="auto"/>
                <w:sz w:val="18"/>
                <w:szCs w:val="18"/>
              </w:rPr>
              <w:t>(mm)</w:t>
            </w: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楼板、梁、柱、阳台板、空调板、楼梯</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剪力墙</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±4</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3</w:t>
            </w:r>
          </w:p>
        </w:tc>
        <w:tc>
          <w:tcPr>
            <w:tcW w:w="432"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高度</w:t>
            </w:r>
            <w:r>
              <w:rPr>
                <w:rFonts w:hint="eastAsia" w:ascii="Times New Roman" w:cs="Times New Roman"/>
                <w:color w:val="auto"/>
                <w:sz w:val="18"/>
                <w:szCs w:val="18"/>
              </w:rPr>
              <w:t>(mm)</w:t>
            </w: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梁、柱</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墙板</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±4</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4</w:t>
            </w:r>
          </w:p>
        </w:tc>
        <w:tc>
          <w:tcPr>
            <w:tcW w:w="432"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厚度</w:t>
            </w:r>
            <w:r>
              <w:rPr>
                <w:rFonts w:hint="eastAsia" w:ascii="Times New Roman" w:cs="Times New Roman"/>
                <w:color w:val="auto"/>
                <w:sz w:val="18"/>
                <w:szCs w:val="18"/>
              </w:rPr>
              <w:t>(mm)</w:t>
            </w: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楼板</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墙板、阳台板、空调板、楼梯</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±3</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5</w:t>
            </w:r>
          </w:p>
        </w:tc>
        <w:tc>
          <w:tcPr>
            <w:tcW w:w="432"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表面平整度</w:t>
            </w:r>
            <w:r>
              <w:rPr>
                <w:rFonts w:hint="eastAsia" w:ascii="Times New Roman" w:cs="Times New Roman"/>
                <w:color w:val="auto"/>
                <w:sz w:val="18"/>
                <w:szCs w:val="18"/>
              </w:rPr>
              <w:t>(mm)</w:t>
            </w:r>
          </w:p>
        </w:tc>
        <w:tc>
          <w:tcPr>
            <w:tcW w:w="678"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内表面</w:t>
            </w:r>
          </w:p>
        </w:tc>
        <w:tc>
          <w:tcPr>
            <w:tcW w:w="653"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楼板、墙板</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4</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678"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外表面</w:t>
            </w:r>
          </w:p>
        </w:tc>
        <w:tc>
          <w:tcPr>
            <w:tcW w:w="653"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楼板、墙板</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3</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梁、柱、阳台板、空调板、楼梯</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4</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6</w:t>
            </w:r>
          </w:p>
        </w:tc>
        <w:tc>
          <w:tcPr>
            <w:tcW w:w="432"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侧向弯曲</w:t>
            </w:r>
            <w:r>
              <w:rPr>
                <w:rFonts w:hint="eastAsia" w:ascii="Times New Roman" w:cs="Times New Roman"/>
                <w:color w:val="auto"/>
                <w:sz w:val="18"/>
                <w:szCs w:val="18"/>
              </w:rPr>
              <w:t>(mm)</w:t>
            </w: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楼板、梁、柱、阳台板、空调板、楼梯</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L/750 且≤20</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墙板</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L/1000 且≤20</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7</w:t>
            </w:r>
          </w:p>
        </w:tc>
        <w:tc>
          <w:tcPr>
            <w:tcW w:w="432"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扭翘</w:t>
            </w:r>
            <w:r>
              <w:rPr>
                <w:rFonts w:hint="eastAsia" w:ascii="Times New Roman" w:cs="Times New Roman"/>
                <w:color w:val="auto"/>
                <w:sz w:val="18"/>
                <w:szCs w:val="18"/>
              </w:rPr>
              <w:t>(mm)</w:t>
            </w: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楼板</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L/750</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墙板</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L/1000</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8</w:t>
            </w:r>
          </w:p>
        </w:tc>
        <w:tc>
          <w:tcPr>
            <w:tcW w:w="432"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对角线差</w:t>
            </w:r>
            <w:r>
              <w:rPr>
                <w:rFonts w:hint="eastAsia" w:ascii="Times New Roman" w:cs="Times New Roman"/>
                <w:color w:val="auto"/>
                <w:sz w:val="18"/>
                <w:szCs w:val="18"/>
              </w:rPr>
              <w:t>(mm)</w:t>
            </w: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楼板</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6</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墙板</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9</w:t>
            </w:r>
          </w:p>
        </w:tc>
        <w:tc>
          <w:tcPr>
            <w:tcW w:w="432"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挠度变形</w:t>
            </w:r>
            <w:r>
              <w:rPr>
                <w:rFonts w:hint="eastAsia" w:ascii="Times New Roman" w:cs="Times New Roman"/>
                <w:color w:val="auto"/>
                <w:sz w:val="18"/>
                <w:szCs w:val="18"/>
              </w:rPr>
              <w:t>(mm)</w:t>
            </w: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梁、板起拱</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±10</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9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253"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432"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1331"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梁、板下垂</w:t>
            </w:r>
          </w:p>
        </w:tc>
        <w:tc>
          <w:tcPr>
            <w:tcW w:w="83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0</w:t>
            </w:r>
          </w:p>
        </w:tc>
        <w:tc>
          <w:tcPr>
            <w:tcW w:w="666"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583" w:type="pct"/>
            <w:gridSpan w:val="2"/>
            <w:vAlign w:val="center"/>
          </w:tcPr>
          <w:p>
            <w:pPr>
              <w:pStyle w:val="117"/>
              <w:kinsoku w:val="0"/>
              <w:overflowPunct w:val="0"/>
              <w:spacing w:line="300" w:lineRule="auto"/>
              <w:jc w:val="center"/>
              <w:rPr>
                <w:rFonts w:ascii="Times New Roman" w:cs="Times New Roman"/>
                <w:color w:val="auto"/>
                <w:sz w:val="18"/>
                <w:szCs w:val="18"/>
              </w:rPr>
            </w:pPr>
          </w:p>
        </w:tc>
        <w:tc>
          <w:tcPr>
            <w:tcW w:w="610"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47" w:type="pct"/>
            <w:gridSpan w:val="6"/>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c>
          <w:tcPr>
            <w:tcW w:w="3453" w:type="pct"/>
            <w:gridSpan w:val="10"/>
            <w:vAlign w:val="center"/>
          </w:tcPr>
          <w:p>
            <w:pPr>
              <w:pStyle w:val="117"/>
              <w:kinsoku w:val="0"/>
              <w:overflowPunct w:val="0"/>
              <w:spacing w:line="300" w:lineRule="auto"/>
              <w:ind w:right="455" w:firstLine="1440" w:firstLineChars="800"/>
              <w:jc w:val="center"/>
              <w:rPr>
                <w:rFonts w:ascii="Times New Roman" w:cs="Times New Roman"/>
                <w:color w:val="auto"/>
                <w:sz w:val="18"/>
                <w:szCs w:val="18"/>
              </w:rPr>
            </w:pPr>
          </w:p>
          <w:p>
            <w:pPr>
              <w:pStyle w:val="117"/>
              <w:kinsoku w:val="0"/>
              <w:overflowPunct w:val="0"/>
              <w:spacing w:line="300" w:lineRule="auto"/>
              <w:ind w:right="455" w:firstLine="1440" w:firstLineChars="800"/>
              <w:jc w:val="center"/>
              <w:rPr>
                <w:rFonts w:ascii="Times New Roman" w:cs="Times New Roman"/>
                <w:color w:val="auto"/>
                <w:sz w:val="18"/>
                <w:szCs w:val="18"/>
              </w:rPr>
            </w:pPr>
            <w:r>
              <w:rPr>
                <w:rFonts w:ascii="Times New Roman" w:cs="Times New Roman"/>
                <w:color w:val="auto"/>
                <w:sz w:val="18"/>
                <w:szCs w:val="18"/>
              </w:rPr>
              <w:t>专业工长：          项目专业质量检查员：</w:t>
            </w:r>
          </w:p>
          <w:p>
            <w:pPr>
              <w:pStyle w:val="117"/>
              <w:kinsoku w:val="0"/>
              <w:overflowPunct w:val="0"/>
              <w:spacing w:line="300" w:lineRule="auto"/>
              <w:ind w:right="455" w:firstLine="1440" w:firstLineChars="800"/>
              <w:jc w:val="center"/>
              <w:rPr>
                <w:rFonts w:ascii="Times New Roman" w:cs="Times New Roman"/>
                <w:color w:val="auto"/>
                <w:sz w:val="18"/>
                <w:szCs w:val="18"/>
              </w:rPr>
            </w:pPr>
            <w:r>
              <w:rPr>
                <w:rFonts w:ascii="Times New Roman" w:cs="Times New Roman"/>
                <w:color w:val="auto"/>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47" w:type="pct"/>
            <w:gridSpan w:val="6"/>
            <w:vAlign w:val="center"/>
          </w:tcPr>
          <w:p>
            <w:pPr>
              <w:pStyle w:val="117"/>
              <w:kinsoku w:val="0"/>
              <w:overflowPunct w:val="0"/>
              <w:spacing w:before="240" w:after="240" w:line="240" w:lineRule="auto"/>
              <w:jc w:val="center"/>
              <w:rPr>
                <w:rFonts w:ascii="Times New Roman" w:eastAsia="黑体" w:cs="Times New Roman"/>
                <w:color w:val="auto"/>
                <w:sz w:val="18"/>
                <w:szCs w:val="18"/>
              </w:rPr>
            </w:pPr>
            <w:r>
              <w:rPr>
                <w:rFonts w:ascii="Times New Roman" w:cs="Times New Roman"/>
                <w:color w:val="auto"/>
                <w:sz w:val="18"/>
                <w:szCs w:val="18"/>
              </w:rPr>
              <w:t>监理</w:t>
            </w:r>
            <w:r>
              <w:rPr>
                <w:rFonts w:hint="eastAsia" w:ascii="Times New Roman" w:cs="Times New Roman"/>
                <w:color w:val="auto"/>
                <w:sz w:val="18"/>
                <w:szCs w:val="18"/>
              </w:rPr>
              <w:t>（建设）</w:t>
            </w:r>
            <w:r>
              <w:rPr>
                <w:rFonts w:ascii="Times New Roman" w:cs="Times New Roman"/>
                <w:color w:val="auto"/>
                <w:sz w:val="18"/>
                <w:szCs w:val="18"/>
              </w:rPr>
              <w:t>单位</w:t>
            </w:r>
          </w:p>
          <w:p>
            <w:pPr>
              <w:pStyle w:val="117"/>
              <w:kinsoku w:val="0"/>
              <w:overflowPunct w:val="0"/>
              <w:spacing w:before="240" w:after="240" w:line="240" w:lineRule="auto"/>
              <w:jc w:val="center"/>
              <w:rPr>
                <w:rFonts w:ascii="Times New Roman" w:eastAsia="黑体" w:cs="Times New Roman"/>
                <w:color w:val="auto"/>
                <w:sz w:val="18"/>
                <w:szCs w:val="18"/>
              </w:rPr>
            </w:pPr>
            <w:r>
              <w:rPr>
                <w:rFonts w:ascii="Times New Roman" w:cs="Times New Roman"/>
                <w:color w:val="auto"/>
                <w:sz w:val="18"/>
                <w:szCs w:val="18"/>
              </w:rPr>
              <w:t>验收结论</w:t>
            </w:r>
          </w:p>
        </w:tc>
        <w:tc>
          <w:tcPr>
            <w:tcW w:w="3453" w:type="pct"/>
            <w:gridSpan w:val="10"/>
            <w:vAlign w:val="center"/>
          </w:tcPr>
          <w:p>
            <w:pPr>
              <w:pStyle w:val="117"/>
              <w:kinsoku w:val="0"/>
              <w:overflowPunct w:val="0"/>
              <w:spacing w:line="240" w:lineRule="auto"/>
              <w:jc w:val="center"/>
              <w:rPr>
                <w:rFonts w:ascii="Times New Roman" w:cs="Times New Roman"/>
                <w:color w:val="auto"/>
                <w:sz w:val="18"/>
                <w:szCs w:val="18"/>
              </w:rPr>
            </w:pPr>
          </w:p>
          <w:p>
            <w:pPr>
              <w:pStyle w:val="117"/>
              <w:kinsoku w:val="0"/>
              <w:overflowPunct w:val="0"/>
              <w:spacing w:before="126" w:line="240" w:lineRule="auto"/>
              <w:jc w:val="center"/>
              <w:rPr>
                <w:rFonts w:ascii="Times New Roman" w:cs="Times New Roman"/>
                <w:color w:val="auto"/>
                <w:sz w:val="18"/>
                <w:szCs w:val="18"/>
              </w:rPr>
            </w:pPr>
            <w:r>
              <w:rPr>
                <w:rFonts w:ascii="Times New Roman" w:cs="Times New Roman"/>
                <w:color w:val="auto"/>
                <w:sz w:val="18"/>
                <w:szCs w:val="18"/>
              </w:rPr>
              <w:t>专业监理工程师</w:t>
            </w:r>
            <w:r>
              <w:rPr>
                <w:rFonts w:hint="eastAsia" w:ascii="Times New Roman" w:cs="Times New Roman"/>
                <w:color w:val="auto"/>
                <w:sz w:val="18"/>
                <w:szCs w:val="18"/>
              </w:rPr>
              <w:t>（建设单位项目负责人）</w:t>
            </w:r>
            <w:r>
              <w:rPr>
                <w:rFonts w:ascii="Times New Roman" w:cs="Times New Roman"/>
                <w:color w:val="auto"/>
                <w:sz w:val="18"/>
                <w:szCs w:val="18"/>
              </w:rPr>
              <w:t>：</w:t>
            </w:r>
          </w:p>
          <w:p>
            <w:pPr>
              <w:pStyle w:val="117"/>
              <w:kinsoku w:val="0"/>
              <w:overflowPunct w:val="0"/>
              <w:spacing w:line="240" w:lineRule="auto"/>
              <w:jc w:val="center"/>
              <w:rPr>
                <w:rFonts w:ascii="Times New Roman" w:cs="Times New Roman"/>
                <w:color w:val="auto"/>
                <w:sz w:val="18"/>
                <w:szCs w:val="18"/>
              </w:rPr>
            </w:pPr>
            <w:r>
              <w:rPr>
                <w:rFonts w:ascii="Times New Roman" w:cs="Times New Roman"/>
                <w:color w:val="auto"/>
                <w:sz w:val="18"/>
                <w:szCs w:val="18"/>
              </w:rPr>
              <w:t>年   月   日</w:t>
            </w:r>
          </w:p>
        </w:tc>
      </w:tr>
    </w:tbl>
    <w:p>
      <w:pPr>
        <w:pStyle w:val="16"/>
        <w:numPr>
          <w:ilvl w:val="2"/>
          <w:numId w:val="0"/>
        </w:numPr>
        <w:tabs>
          <w:tab w:val="left" w:pos="4155"/>
          <w:tab w:val="clear" w:pos="432"/>
        </w:tabs>
        <w:kinsoku w:val="0"/>
        <w:overflowPunct w:val="0"/>
        <w:spacing w:before="83" w:line="300" w:lineRule="auto"/>
        <w:rPr>
          <w:rFonts w:cs="Times New Roman"/>
          <w:color w:val="auto"/>
          <w:sz w:val="24"/>
        </w:rPr>
        <w:sectPr>
          <w:pgSz w:w="11906" w:h="16838"/>
          <w:pgMar w:top="1440" w:right="1800" w:bottom="1440" w:left="1800" w:header="851" w:footer="992" w:gutter="0"/>
          <w:cols w:space="425" w:num="1"/>
          <w:docGrid w:type="lines" w:linePitch="312" w:charSpace="0"/>
        </w:sectPr>
      </w:pPr>
    </w:p>
    <w:p>
      <w:pPr>
        <w:pStyle w:val="16"/>
        <w:numPr>
          <w:ilvl w:val="2"/>
          <w:numId w:val="0"/>
        </w:numPr>
        <w:tabs>
          <w:tab w:val="left" w:pos="4155"/>
          <w:tab w:val="clear" w:pos="432"/>
        </w:tabs>
        <w:kinsoku w:val="0"/>
        <w:overflowPunct w:val="0"/>
        <w:spacing w:before="83" w:line="300" w:lineRule="auto"/>
        <w:rPr>
          <w:rFonts w:cs="Times New Roman"/>
          <w:color w:val="auto"/>
          <w:sz w:val="24"/>
        </w:rPr>
      </w:pPr>
      <w:r>
        <w:rPr>
          <w:rFonts w:cs="Times New Roman"/>
          <w:color w:val="auto"/>
          <w:sz w:val="24"/>
        </w:rPr>
        <w:t>A.6粗糙面和键槽检验批质量验收记录表</w:t>
      </w:r>
    </w:p>
    <w:tbl>
      <w:tblPr>
        <w:tblStyle w:val="32"/>
        <w:tblW w:w="500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321"/>
        <w:gridCol w:w="761"/>
        <w:gridCol w:w="191"/>
        <w:gridCol w:w="101"/>
        <w:gridCol w:w="899"/>
        <w:gridCol w:w="212"/>
        <w:gridCol w:w="63"/>
        <w:gridCol w:w="1351"/>
        <w:gridCol w:w="213"/>
        <w:gridCol w:w="1172"/>
        <w:gridCol w:w="22"/>
        <w:gridCol w:w="1416"/>
        <w:gridCol w:w="191"/>
        <w:gridCol w:w="12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867"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单位（子单位）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822" w:type="pct"/>
            <w:gridSpan w:val="4"/>
            <w:vAlign w:val="center"/>
          </w:tcPr>
          <w:p>
            <w:pPr>
              <w:pStyle w:val="117"/>
              <w:kinsoku w:val="0"/>
              <w:overflowPunct w:val="0"/>
              <w:spacing w:line="300" w:lineRule="auto"/>
              <w:jc w:val="center"/>
              <w:rPr>
                <w:rFonts w:ascii="Times New Roman" w:cs="Times New Roman"/>
                <w:color w:val="auto"/>
                <w:sz w:val="18"/>
                <w:szCs w:val="18"/>
              </w:rPr>
            </w:pPr>
          </w:p>
        </w:tc>
        <w:tc>
          <w:tcPr>
            <w:tcW w:w="829"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分部（子分部）</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82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830"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分项工程名称</w:t>
            </w:r>
          </w:p>
        </w:tc>
        <w:tc>
          <w:tcPr>
            <w:tcW w:w="827"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67"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tc>
        <w:tc>
          <w:tcPr>
            <w:tcW w:w="822" w:type="pct"/>
            <w:gridSpan w:val="4"/>
            <w:vAlign w:val="center"/>
          </w:tcPr>
          <w:p>
            <w:pPr>
              <w:pStyle w:val="117"/>
              <w:kinsoku w:val="0"/>
              <w:overflowPunct w:val="0"/>
              <w:spacing w:line="300" w:lineRule="auto"/>
              <w:jc w:val="center"/>
              <w:rPr>
                <w:rFonts w:ascii="Times New Roman" w:cs="Times New Roman"/>
                <w:color w:val="auto"/>
                <w:sz w:val="18"/>
                <w:szCs w:val="18"/>
              </w:rPr>
            </w:pPr>
          </w:p>
        </w:tc>
        <w:tc>
          <w:tcPr>
            <w:tcW w:w="829"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82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830"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检验批容量</w:t>
            </w:r>
          </w:p>
        </w:tc>
        <w:tc>
          <w:tcPr>
            <w:tcW w:w="827"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67"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构件生产单位</w:t>
            </w:r>
          </w:p>
        </w:tc>
        <w:tc>
          <w:tcPr>
            <w:tcW w:w="822" w:type="pct"/>
            <w:gridSpan w:val="4"/>
            <w:vAlign w:val="center"/>
          </w:tcPr>
          <w:p>
            <w:pPr>
              <w:pStyle w:val="117"/>
              <w:kinsoku w:val="0"/>
              <w:overflowPunct w:val="0"/>
              <w:spacing w:line="300" w:lineRule="auto"/>
              <w:jc w:val="center"/>
              <w:rPr>
                <w:rFonts w:ascii="Times New Roman" w:cs="Times New Roman"/>
                <w:color w:val="auto"/>
                <w:sz w:val="18"/>
                <w:szCs w:val="18"/>
              </w:rPr>
            </w:pPr>
          </w:p>
        </w:tc>
        <w:tc>
          <w:tcPr>
            <w:tcW w:w="829"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构件生产单位项目负责人</w:t>
            </w:r>
          </w:p>
        </w:tc>
        <w:tc>
          <w:tcPr>
            <w:tcW w:w="82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830"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检验批部位</w:t>
            </w:r>
          </w:p>
        </w:tc>
        <w:tc>
          <w:tcPr>
            <w:tcW w:w="827" w:type="pct"/>
            <w:gridSpan w:val="2"/>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8" w:type="pct"/>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施工依据</w:t>
            </w:r>
          </w:p>
        </w:tc>
        <w:tc>
          <w:tcPr>
            <w:tcW w:w="1604" w:type="pct"/>
            <w:gridSpan w:val="5"/>
            <w:vAlign w:val="center"/>
          </w:tcPr>
          <w:p>
            <w:pPr>
              <w:pStyle w:val="117"/>
              <w:kinsoku w:val="0"/>
              <w:overflowPunct w:val="0"/>
              <w:spacing w:line="300" w:lineRule="auto"/>
              <w:jc w:val="center"/>
              <w:rPr>
                <w:rFonts w:ascii="Times New Roman" w:cs="Times New Roman"/>
                <w:color w:val="auto"/>
                <w:sz w:val="18"/>
                <w:szCs w:val="18"/>
              </w:rPr>
            </w:pPr>
          </w:p>
        </w:tc>
        <w:tc>
          <w:tcPr>
            <w:tcW w:w="687"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验收依据</w:t>
            </w:r>
          </w:p>
        </w:tc>
        <w:tc>
          <w:tcPr>
            <w:tcW w:w="1671" w:type="pct"/>
            <w:gridSpan w:val="4"/>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5" w:type="pct"/>
            <w:gridSpan w:val="8"/>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验收项目</w:t>
            </w:r>
          </w:p>
        </w:tc>
        <w:tc>
          <w:tcPr>
            <w:tcW w:w="917"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设计要求及规范规定</w:t>
            </w:r>
          </w:p>
        </w:tc>
        <w:tc>
          <w:tcPr>
            <w:tcW w:w="687"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最小/实际抽样数量</w:t>
            </w:r>
          </w:p>
        </w:tc>
        <w:tc>
          <w:tcPr>
            <w:tcW w:w="955"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检查记录</w:t>
            </w:r>
          </w:p>
        </w:tc>
        <w:tc>
          <w:tcPr>
            <w:tcW w:w="717"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主控项目</w:t>
            </w:r>
          </w:p>
        </w:tc>
        <w:tc>
          <w:tcPr>
            <w:tcW w:w="188"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1305" w:type="pct"/>
            <w:gridSpan w:val="6"/>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粗糙面设置</w:t>
            </w:r>
          </w:p>
        </w:tc>
        <w:tc>
          <w:tcPr>
            <w:tcW w:w="917" w:type="pct"/>
            <w:gridSpan w:val="2"/>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按照本指南5.2.4执行</w:t>
            </w:r>
          </w:p>
        </w:tc>
        <w:tc>
          <w:tcPr>
            <w:tcW w:w="687" w:type="pct"/>
            <w:vAlign w:val="center"/>
          </w:tcPr>
          <w:p>
            <w:pPr>
              <w:pStyle w:val="117"/>
              <w:kinsoku w:val="0"/>
              <w:overflowPunct w:val="0"/>
              <w:spacing w:line="300" w:lineRule="auto"/>
              <w:jc w:val="center"/>
              <w:rPr>
                <w:rFonts w:ascii="Times New Roman" w:cs="Times New Roman"/>
                <w:color w:val="auto"/>
                <w:sz w:val="18"/>
                <w:szCs w:val="18"/>
              </w:rPr>
            </w:pPr>
          </w:p>
        </w:tc>
        <w:tc>
          <w:tcPr>
            <w:tcW w:w="95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71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33" w:type="pct"/>
            <w:vMerge w:val="continue"/>
            <w:textDirection w:val="tbRl"/>
            <w:vAlign w:val="center"/>
          </w:tcPr>
          <w:p>
            <w:pPr>
              <w:pStyle w:val="117"/>
              <w:kinsoku w:val="0"/>
              <w:overflowPunct w:val="0"/>
              <w:spacing w:line="300" w:lineRule="auto"/>
              <w:jc w:val="center"/>
              <w:rPr>
                <w:rFonts w:ascii="Times New Roman" w:cs="Times New Roman"/>
                <w:color w:val="auto"/>
                <w:sz w:val="18"/>
                <w:szCs w:val="18"/>
              </w:rPr>
            </w:pPr>
          </w:p>
        </w:tc>
        <w:tc>
          <w:tcPr>
            <w:tcW w:w="188"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1305" w:type="pct"/>
            <w:gridSpan w:val="6"/>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键槽数量</w:t>
            </w:r>
          </w:p>
        </w:tc>
        <w:tc>
          <w:tcPr>
            <w:tcW w:w="917" w:type="pct"/>
            <w:gridSpan w:val="2"/>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按照本指南5.2.4执行</w:t>
            </w:r>
          </w:p>
        </w:tc>
        <w:tc>
          <w:tcPr>
            <w:tcW w:w="687" w:type="pct"/>
            <w:vAlign w:val="center"/>
          </w:tcPr>
          <w:p>
            <w:pPr>
              <w:pStyle w:val="117"/>
              <w:kinsoku w:val="0"/>
              <w:overflowPunct w:val="0"/>
              <w:spacing w:line="300" w:lineRule="auto"/>
              <w:jc w:val="center"/>
              <w:rPr>
                <w:rFonts w:ascii="Times New Roman" w:cs="Times New Roman"/>
                <w:color w:val="auto"/>
                <w:sz w:val="18"/>
                <w:szCs w:val="18"/>
              </w:rPr>
            </w:pPr>
          </w:p>
        </w:tc>
        <w:tc>
          <w:tcPr>
            <w:tcW w:w="95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71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一般项目</w:t>
            </w:r>
          </w:p>
        </w:tc>
        <w:tc>
          <w:tcPr>
            <w:tcW w:w="188"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558"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粗糙面</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凹凸深度</w:t>
            </w:r>
            <w:r>
              <w:rPr>
                <w:rFonts w:hint="eastAsia" w:ascii="Times New Roman" w:cs="Times New Roman"/>
                <w:color w:val="auto"/>
                <w:sz w:val="18"/>
                <w:szCs w:val="18"/>
              </w:rPr>
              <w:t>（mm）</w:t>
            </w:r>
          </w:p>
        </w:tc>
        <w:tc>
          <w:tcPr>
            <w:tcW w:w="74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板</w:t>
            </w:r>
          </w:p>
        </w:tc>
        <w:tc>
          <w:tcPr>
            <w:tcW w:w="917"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≥4</w:t>
            </w:r>
          </w:p>
        </w:tc>
        <w:tc>
          <w:tcPr>
            <w:tcW w:w="687" w:type="pct"/>
            <w:vAlign w:val="center"/>
          </w:tcPr>
          <w:p>
            <w:pPr>
              <w:pStyle w:val="117"/>
              <w:kinsoku w:val="0"/>
              <w:overflowPunct w:val="0"/>
              <w:spacing w:line="300" w:lineRule="auto"/>
              <w:jc w:val="center"/>
              <w:rPr>
                <w:rFonts w:ascii="Times New Roman" w:cs="Times New Roman"/>
                <w:color w:val="auto"/>
                <w:sz w:val="18"/>
                <w:szCs w:val="18"/>
              </w:rPr>
            </w:pPr>
          </w:p>
        </w:tc>
        <w:tc>
          <w:tcPr>
            <w:tcW w:w="95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71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 w:type="pct"/>
            <w:vMerge w:val="continue"/>
            <w:textDirection w:val="tbRl"/>
            <w:vAlign w:val="center"/>
          </w:tcPr>
          <w:p>
            <w:pPr>
              <w:autoSpaceDE w:val="0"/>
              <w:autoSpaceDN w:val="0"/>
              <w:adjustRightInd w:val="0"/>
              <w:snapToGrid w:val="0"/>
              <w:spacing w:line="300" w:lineRule="auto"/>
              <w:contextualSpacing/>
              <w:jc w:val="center"/>
              <w:rPr>
                <w:rFonts w:cs="Times New Roman"/>
                <w:color w:val="auto"/>
                <w:kern w:val="0"/>
                <w:sz w:val="15"/>
                <w:szCs w:val="15"/>
              </w:rPr>
            </w:pPr>
          </w:p>
        </w:tc>
        <w:tc>
          <w:tcPr>
            <w:tcW w:w="188"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58"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4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梁端、柱端、墙端</w:t>
            </w:r>
          </w:p>
        </w:tc>
        <w:tc>
          <w:tcPr>
            <w:tcW w:w="917" w:type="pct"/>
            <w:gridSpan w:val="2"/>
            <w:vAlign w:val="center"/>
          </w:tcPr>
          <w:p>
            <w:pPr>
              <w:pStyle w:val="117"/>
              <w:kinsoku w:val="0"/>
              <w:overflowPunct w:val="0"/>
              <w:spacing w:line="300" w:lineRule="auto"/>
              <w:jc w:val="center"/>
              <w:rPr>
                <w:rFonts w:ascii="Times New Roman" w:cs="Times New Roman"/>
                <w:color w:val="auto"/>
                <w:sz w:val="18"/>
                <w:szCs w:val="18"/>
              </w:rPr>
            </w:pP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≥6</w:t>
            </w:r>
          </w:p>
        </w:tc>
        <w:tc>
          <w:tcPr>
            <w:tcW w:w="687" w:type="pct"/>
            <w:vAlign w:val="center"/>
          </w:tcPr>
          <w:p>
            <w:pPr>
              <w:pStyle w:val="117"/>
              <w:kinsoku w:val="0"/>
              <w:overflowPunct w:val="0"/>
              <w:spacing w:line="300" w:lineRule="auto"/>
              <w:jc w:val="center"/>
              <w:rPr>
                <w:rFonts w:ascii="Times New Roman" w:cs="Times New Roman"/>
                <w:color w:val="auto"/>
                <w:sz w:val="18"/>
                <w:szCs w:val="18"/>
              </w:rPr>
            </w:pPr>
          </w:p>
        </w:tc>
        <w:tc>
          <w:tcPr>
            <w:tcW w:w="95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71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 w:type="pct"/>
            <w:vMerge w:val="continue"/>
            <w:textDirection w:val="tbRl"/>
            <w:vAlign w:val="center"/>
          </w:tcPr>
          <w:p>
            <w:pPr>
              <w:autoSpaceDE w:val="0"/>
              <w:autoSpaceDN w:val="0"/>
              <w:adjustRightInd w:val="0"/>
              <w:snapToGrid w:val="0"/>
              <w:spacing w:line="300" w:lineRule="auto"/>
              <w:contextualSpacing/>
              <w:jc w:val="center"/>
              <w:rPr>
                <w:rFonts w:cs="Times New Roman"/>
                <w:color w:val="auto"/>
                <w:kern w:val="0"/>
                <w:sz w:val="15"/>
                <w:szCs w:val="15"/>
              </w:rPr>
            </w:pPr>
          </w:p>
        </w:tc>
        <w:tc>
          <w:tcPr>
            <w:tcW w:w="188" w:type="pct"/>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558" w:type="pct"/>
            <w:gridSpan w:val="2"/>
            <w:vMerge w:val="restar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键槽</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尺寸</w:t>
            </w:r>
            <w:r>
              <w:rPr>
                <w:rFonts w:hint="eastAsia" w:ascii="Times New Roman" w:cs="Times New Roman"/>
                <w:color w:val="auto"/>
                <w:sz w:val="18"/>
                <w:szCs w:val="18"/>
              </w:rPr>
              <w:t>（mm）</w:t>
            </w:r>
          </w:p>
        </w:tc>
        <w:tc>
          <w:tcPr>
            <w:tcW w:w="74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中心线位置</w:t>
            </w:r>
          </w:p>
        </w:tc>
        <w:tc>
          <w:tcPr>
            <w:tcW w:w="917"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687" w:type="pct"/>
            <w:vAlign w:val="center"/>
          </w:tcPr>
          <w:p>
            <w:pPr>
              <w:pStyle w:val="117"/>
              <w:kinsoku w:val="0"/>
              <w:overflowPunct w:val="0"/>
              <w:spacing w:line="300" w:lineRule="auto"/>
              <w:jc w:val="center"/>
              <w:rPr>
                <w:rFonts w:ascii="Times New Roman" w:cs="Times New Roman"/>
                <w:color w:val="auto"/>
                <w:sz w:val="18"/>
                <w:szCs w:val="18"/>
              </w:rPr>
            </w:pPr>
          </w:p>
        </w:tc>
        <w:tc>
          <w:tcPr>
            <w:tcW w:w="95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71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 w:type="pct"/>
            <w:vMerge w:val="continue"/>
            <w:textDirection w:val="tbRl"/>
            <w:vAlign w:val="center"/>
          </w:tcPr>
          <w:p>
            <w:pPr>
              <w:autoSpaceDE w:val="0"/>
              <w:autoSpaceDN w:val="0"/>
              <w:adjustRightInd w:val="0"/>
              <w:snapToGrid w:val="0"/>
              <w:spacing w:line="300" w:lineRule="auto"/>
              <w:contextualSpacing/>
              <w:jc w:val="center"/>
              <w:rPr>
                <w:rFonts w:cs="Times New Roman"/>
                <w:color w:val="auto"/>
                <w:kern w:val="0"/>
                <w:sz w:val="15"/>
                <w:szCs w:val="15"/>
              </w:rPr>
            </w:pPr>
          </w:p>
        </w:tc>
        <w:tc>
          <w:tcPr>
            <w:tcW w:w="188"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58"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4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长度、宽度</w:t>
            </w:r>
          </w:p>
        </w:tc>
        <w:tc>
          <w:tcPr>
            <w:tcW w:w="917"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687" w:type="pct"/>
            <w:vAlign w:val="center"/>
          </w:tcPr>
          <w:p>
            <w:pPr>
              <w:pStyle w:val="117"/>
              <w:kinsoku w:val="0"/>
              <w:overflowPunct w:val="0"/>
              <w:spacing w:line="300" w:lineRule="auto"/>
              <w:jc w:val="center"/>
              <w:rPr>
                <w:rFonts w:ascii="Times New Roman" w:cs="Times New Roman"/>
                <w:color w:val="auto"/>
                <w:sz w:val="18"/>
                <w:szCs w:val="18"/>
              </w:rPr>
            </w:pPr>
          </w:p>
        </w:tc>
        <w:tc>
          <w:tcPr>
            <w:tcW w:w="95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71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3" w:type="pct"/>
            <w:vMerge w:val="continue"/>
            <w:textDirection w:val="tbRl"/>
            <w:vAlign w:val="center"/>
          </w:tcPr>
          <w:p>
            <w:pPr>
              <w:autoSpaceDE w:val="0"/>
              <w:autoSpaceDN w:val="0"/>
              <w:adjustRightInd w:val="0"/>
              <w:snapToGrid w:val="0"/>
              <w:spacing w:line="300" w:lineRule="auto"/>
              <w:contextualSpacing/>
              <w:jc w:val="center"/>
              <w:rPr>
                <w:rFonts w:cs="Times New Roman"/>
                <w:color w:val="auto"/>
                <w:kern w:val="0"/>
                <w:sz w:val="15"/>
                <w:szCs w:val="15"/>
              </w:rPr>
            </w:pPr>
          </w:p>
        </w:tc>
        <w:tc>
          <w:tcPr>
            <w:tcW w:w="188" w:type="pct"/>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558" w:type="pct"/>
            <w:gridSpan w:val="2"/>
            <w:vMerge w:val="continue"/>
            <w:vAlign w:val="center"/>
          </w:tcPr>
          <w:p>
            <w:pPr>
              <w:pStyle w:val="117"/>
              <w:kinsoku w:val="0"/>
              <w:overflowPunct w:val="0"/>
              <w:spacing w:line="300" w:lineRule="auto"/>
              <w:jc w:val="center"/>
              <w:rPr>
                <w:rFonts w:ascii="Times New Roman" w:cs="Times New Roman"/>
                <w:color w:val="auto"/>
                <w:sz w:val="18"/>
                <w:szCs w:val="18"/>
              </w:rPr>
            </w:pPr>
          </w:p>
        </w:tc>
        <w:tc>
          <w:tcPr>
            <w:tcW w:w="747" w:type="pct"/>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深度</w:t>
            </w:r>
          </w:p>
        </w:tc>
        <w:tc>
          <w:tcPr>
            <w:tcW w:w="917"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687" w:type="pct"/>
            <w:vAlign w:val="center"/>
          </w:tcPr>
          <w:p>
            <w:pPr>
              <w:pStyle w:val="117"/>
              <w:kinsoku w:val="0"/>
              <w:overflowPunct w:val="0"/>
              <w:spacing w:line="300" w:lineRule="auto"/>
              <w:jc w:val="center"/>
              <w:rPr>
                <w:rFonts w:ascii="Times New Roman" w:cs="Times New Roman"/>
                <w:color w:val="auto"/>
                <w:sz w:val="18"/>
                <w:szCs w:val="18"/>
              </w:rPr>
            </w:pPr>
          </w:p>
        </w:tc>
        <w:tc>
          <w:tcPr>
            <w:tcW w:w="955"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717"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65" w:type="pct"/>
            <w:gridSpan w:val="6"/>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检查结果</w:t>
            </w:r>
          </w:p>
        </w:tc>
        <w:tc>
          <w:tcPr>
            <w:tcW w:w="3435" w:type="pct"/>
            <w:gridSpan w:val="9"/>
            <w:vAlign w:val="center"/>
          </w:tcPr>
          <w:p>
            <w:pPr>
              <w:pStyle w:val="117"/>
              <w:kinsoku w:val="0"/>
              <w:overflowPunct w:val="0"/>
              <w:spacing w:line="300" w:lineRule="auto"/>
              <w:ind w:right="455" w:firstLine="1440" w:firstLineChars="800"/>
              <w:jc w:val="center"/>
              <w:rPr>
                <w:rFonts w:ascii="Times New Roman" w:cs="Times New Roman"/>
                <w:color w:val="auto"/>
                <w:sz w:val="18"/>
                <w:szCs w:val="18"/>
              </w:rPr>
            </w:pPr>
          </w:p>
          <w:p>
            <w:pPr>
              <w:pStyle w:val="117"/>
              <w:kinsoku w:val="0"/>
              <w:overflowPunct w:val="0"/>
              <w:spacing w:line="300" w:lineRule="auto"/>
              <w:ind w:right="455" w:firstLine="1440" w:firstLineChars="800"/>
              <w:jc w:val="center"/>
              <w:rPr>
                <w:rFonts w:ascii="Times New Roman" w:cs="Times New Roman"/>
                <w:color w:val="auto"/>
                <w:sz w:val="18"/>
                <w:szCs w:val="18"/>
              </w:rPr>
            </w:pPr>
          </w:p>
          <w:p>
            <w:pPr>
              <w:pStyle w:val="117"/>
              <w:kinsoku w:val="0"/>
              <w:overflowPunct w:val="0"/>
              <w:spacing w:line="300" w:lineRule="auto"/>
              <w:ind w:right="455" w:firstLine="1440" w:firstLineChars="800"/>
              <w:jc w:val="center"/>
              <w:rPr>
                <w:rFonts w:ascii="Times New Roman" w:cs="Times New Roman"/>
                <w:color w:val="auto"/>
                <w:sz w:val="18"/>
                <w:szCs w:val="18"/>
              </w:rPr>
            </w:pPr>
          </w:p>
          <w:p>
            <w:pPr>
              <w:pStyle w:val="117"/>
              <w:kinsoku w:val="0"/>
              <w:overflowPunct w:val="0"/>
              <w:spacing w:line="300" w:lineRule="auto"/>
              <w:ind w:right="455" w:firstLine="1440" w:firstLineChars="800"/>
              <w:jc w:val="center"/>
              <w:rPr>
                <w:rFonts w:ascii="Times New Roman" w:cs="Times New Roman"/>
                <w:color w:val="auto"/>
                <w:sz w:val="18"/>
                <w:szCs w:val="18"/>
              </w:rPr>
            </w:pPr>
            <w:r>
              <w:rPr>
                <w:rFonts w:ascii="Times New Roman" w:cs="Times New Roman"/>
                <w:color w:val="auto"/>
                <w:sz w:val="18"/>
                <w:szCs w:val="18"/>
              </w:rPr>
              <w:t>专业工长：          项目专业质量检查员：</w:t>
            </w:r>
          </w:p>
          <w:p>
            <w:pPr>
              <w:pStyle w:val="117"/>
              <w:kinsoku w:val="0"/>
              <w:overflowPunct w:val="0"/>
              <w:spacing w:line="300" w:lineRule="auto"/>
              <w:ind w:right="455" w:firstLine="1440" w:firstLineChars="800"/>
              <w:jc w:val="center"/>
              <w:rPr>
                <w:rFonts w:ascii="Times New Roman" w:cs="Times New Roman"/>
                <w:color w:val="auto"/>
                <w:sz w:val="18"/>
                <w:szCs w:val="18"/>
              </w:rPr>
            </w:pPr>
            <w:r>
              <w:rPr>
                <w:rFonts w:ascii="Times New Roman" w:cs="Times New Roman"/>
                <w:color w:val="auto"/>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565" w:type="pct"/>
            <w:gridSpan w:val="6"/>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监理</w:t>
            </w:r>
            <w:r>
              <w:rPr>
                <w:rFonts w:hint="eastAsia" w:ascii="Times New Roman" w:cs="Times New Roman"/>
                <w:color w:val="auto"/>
                <w:sz w:val="18"/>
                <w:szCs w:val="18"/>
              </w:rPr>
              <w:t>（建设）</w:t>
            </w:r>
            <w:r>
              <w:rPr>
                <w:rFonts w:ascii="Times New Roman" w:cs="Times New Roman"/>
                <w:color w:val="auto"/>
                <w:sz w:val="18"/>
                <w:szCs w:val="18"/>
              </w:rPr>
              <w:t>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验收结论</w:t>
            </w:r>
          </w:p>
        </w:tc>
        <w:tc>
          <w:tcPr>
            <w:tcW w:w="3435" w:type="pct"/>
            <w:gridSpan w:val="9"/>
            <w:vAlign w:val="center"/>
          </w:tcPr>
          <w:p>
            <w:pPr>
              <w:pStyle w:val="117"/>
              <w:kinsoku w:val="0"/>
              <w:overflowPunct w:val="0"/>
              <w:spacing w:line="300" w:lineRule="auto"/>
              <w:jc w:val="center"/>
              <w:rPr>
                <w:rFonts w:ascii="Times New Roman" w:cs="Times New Roman"/>
                <w:color w:val="auto"/>
                <w:sz w:val="18"/>
                <w:szCs w:val="18"/>
              </w:rPr>
            </w:pPr>
          </w:p>
          <w:p>
            <w:pPr>
              <w:pStyle w:val="117"/>
              <w:kinsoku w:val="0"/>
              <w:overflowPunct w:val="0"/>
              <w:spacing w:line="300" w:lineRule="auto"/>
              <w:jc w:val="center"/>
              <w:rPr>
                <w:rFonts w:ascii="Times New Roman" w:cs="Times New Roman"/>
                <w:color w:val="auto"/>
                <w:sz w:val="18"/>
                <w:szCs w:val="18"/>
              </w:rPr>
            </w:pPr>
          </w:p>
          <w:p>
            <w:pPr>
              <w:pStyle w:val="117"/>
              <w:kinsoku w:val="0"/>
              <w:overflowPunct w:val="0"/>
              <w:spacing w:line="300" w:lineRule="auto"/>
              <w:jc w:val="center"/>
              <w:rPr>
                <w:rFonts w:ascii="Times New Roman" w:cs="Times New Roman"/>
                <w:color w:val="auto"/>
                <w:sz w:val="18"/>
                <w:szCs w:val="18"/>
              </w:rPr>
            </w:pPr>
          </w:p>
          <w:p>
            <w:pPr>
              <w:pStyle w:val="117"/>
              <w:kinsoku w:val="0"/>
              <w:overflowPunct w:val="0"/>
              <w:spacing w:before="126" w:line="300" w:lineRule="auto"/>
              <w:jc w:val="center"/>
              <w:rPr>
                <w:rFonts w:ascii="Times New Roman" w:cs="Times New Roman"/>
                <w:color w:val="auto"/>
                <w:sz w:val="18"/>
                <w:szCs w:val="18"/>
              </w:rPr>
            </w:pPr>
            <w:r>
              <w:rPr>
                <w:rFonts w:ascii="Times New Roman" w:cs="Times New Roman"/>
                <w:color w:val="auto"/>
                <w:sz w:val="18"/>
                <w:szCs w:val="18"/>
              </w:rPr>
              <w:t>专业监理工程师</w:t>
            </w:r>
            <w:r>
              <w:rPr>
                <w:rFonts w:hint="eastAsia" w:ascii="Times New Roman" w:cs="Times New Roman"/>
                <w:color w:val="auto"/>
                <w:sz w:val="18"/>
                <w:szCs w:val="18"/>
              </w:rPr>
              <w:t>（建设单位项目负责人）</w:t>
            </w:r>
            <w:r>
              <w:rPr>
                <w:rFonts w:ascii="Times New Roman" w:cs="Times New Roman"/>
                <w:color w:val="auto"/>
                <w:sz w:val="18"/>
                <w:szCs w:val="18"/>
              </w:rPr>
              <w:t>：</w:t>
            </w:r>
          </w:p>
          <w:p>
            <w:pPr>
              <w:pStyle w:val="117"/>
              <w:kinsoku w:val="0"/>
              <w:overflowPunct w:val="0"/>
              <w:spacing w:before="240" w:after="240" w:line="300" w:lineRule="auto"/>
              <w:jc w:val="center"/>
              <w:rPr>
                <w:rFonts w:ascii="Times New Roman" w:eastAsia="黑体" w:cs="Times New Roman"/>
                <w:color w:val="auto"/>
                <w:sz w:val="18"/>
                <w:szCs w:val="18"/>
              </w:rPr>
            </w:pPr>
            <w:r>
              <w:rPr>
                <w:rFonts w:ascii="Times New Roman" w:cs="Times New Roman"/>
                <w:color w:val="auto"/>
                <w:sz w:val="18"/>
                <w:szCs w:val="18"/>
              </w:rPr>
              <w:t>年   月   日</w:t>
            </w:r>
          </w:p>
        </w:tc>
      </w:tr>
    </w:tbl>
    <w:p>
      <w:pPr>
        <w:pStyle w:val="16"/>
        <w:numPr>
          <w:ilvl w:val="2"/>
          <w:numId w:val="0"/>
        </w:numPr>
        <w:tabs>
          <w:tab w:val="left" w:pos="1792"/>
          <w:tab w:val="clear" w:pos="432"/>
        </w:tabs>
        <w:kinsoku w:val="0"/>
        <w:overflowPunct w:val="0"/>
        <w:spacing w:before="95" w:line="300" w:lineRule="auto"/>
        <w:ind w:right="1"/>
        <w:rPr>
          <w:rFonts w:cs="Times New Roman"/>
          <w:color w:val="auto"/>
          <w:kern w:val="0"/>
          <w:szCs w:val="20"/>
        </w:rPr>
      </w:pPr>
    </w:p>
    <w:p>
      <w:pPr>
        <w:widowControl/>
        <w:spacing w:line="300" w:lineRule="auto"/>
        <w:jc w:val="left"/>
        <w:rPr>
          <w:rFonts w:cs="Times New Roman"/>
          <w:color w:val="auto"/>
          <w:kern w:val="0"/>
          <w:szCs w:val="20"/>
        </w:rPr>
      </w:pPr>
      <w:r>
        <w:rPr>
          <w:rFonts w:cs="Times New Roman"/>
          <w:color w:val="auto"/>
          <w:kern w:val="0"/>
          <w:szCs w:val="20"/>
        </w:rPr>
        <w:br w:type="page"/>
      </w:r>
    </w:p>
    <w:p>
      <w:pPr>
        <w:pStyle w:val="16"/>
        <w:numPr>
          <w:ilvl w:val="2"/>
          <w:numId w:val="0"/>
        </w:numPr>
        <w:tabs>
          <w:tab w:val="left" w:pos="1792"/>
          <w:tab w:val="clear" w:pos="432"/>
        </w:tabs>
        <w:kinsoku w:val="0"/>
        <w:overflowPunct w:val="0"/>
        <w:spacing w:before="95" w:line="300" w:lineRule="auto"/>
        <w:ind w:right="1"/>
        <w:rPr>
          <w:rFonts w:cs="Times New Roman"/>
          <w:color w:val="auto"/>
        </w:rPr>
      </w:pPr>
      <w:r>
        <w:rPr>
          <w:rFonts w:cs="Times New Roman"/>
          <w:color w:val="auto"/>
          <w:sz w:val="24"/>
        </w:rPr>
        <w:t>A.7</w:t>
      </w:r>
      <w:r>
        <w:rPr>
          <w:rFonts w:cs="Times New Roman"/>
          <w:b/>
          <w:bCs/>
          <w:color w:val="auto"/>
          <w:u w:val="single"/>
        </w:rPr>
        <w:tab/>
      </w:r>
      <w:r>
        <w:rPr>
          <w:rFonts w:cs="Times New Roman"/>
          <w:color w:val="auto"/>
          <w:sz w:val="24"/>
        </w:rPr>
        <w:t>分项工程质量验收记录</w:t>
      </w:r>
    </w:p>
    <w:tbl>
      <w:tblPr>
        <w:tblStyle w:val="32"/>
        <w:tblW w:w="5109" w:type="pct"/>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008"/>
        <w:gridCol w:w="1005"/>
        <w:gridCol w:w="1149"/>
        <w:gridCol w:w="247"/>
        <w:gridCol w:w="1247"/>
        <w:gridCol w:w="538"/>
        <w:gridCol w:w="1273"/>
        <w:gridCol w:w="10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9"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单位（子单位）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3711" w:type="pct"/>
            <w:gridSpan w:val="7"/>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89"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分部/子分部</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（或系统/子系统）</w:t>
            </w:r>
          </w:p>
        </w:tc>
        <w:tc>
          <w:tcPr>
            <w:tcW w:w="1379" w:type="pct"/>
            <w:gridSpan w:val="3"/>
            <w:vAlign w:val="center"/>
          </w:tcPr>
          <w:p>
            <w:pPr>
              <w:pStyle w:val="117"/>
              <w:kinsoku w:val="0"/>
              <w:overflowPunct w:val="0"/>
              <w:spacing w:line="300" w:lineRule="auto"/>
              <w:jc w:val="center"/>
              <w:rPr>
                <w:rFonts w:ascii="Times New Roman" w:cs="Times New Roman"/>
                <w:color w:val="auto"/>
                <w:sz w:val="18"/>
                <w:szCs w:val="18"/>
              </w:rPr>
            </w:pPr>
          </w:p>
        </w:tc>
        <w:tc>
          <w:tcPr>
            <w:tcW w:w="716"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分项工程量</w:t>
            </w:r>
          </w:p>
        </w:tc>
        <w:tc>
          <w:tcPr>
            <w:tcW w:w="1616" w:type="pct"/>
            <w:gridSpan w:val="3"/>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rPr>
        <w:tc>
          <w:tcPr>
            <w:tcW w:w="1289"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tc>
        <w:tc>
          <w:tcPr>
            <w:tcW w:w="577" w:type="pct"/>
            <w:vAlign w:val="center"/>
          </w:tcPr>
          <w:p>
            <w:pPr>
              <w:pStyle w:val="117"/>
              <w:kinsoku w:val="0"/>
              <w:overflowPunct w:val="0"/>
              <w:spacing w:line="300" w:lineRule="auto"/>
              <w:jc w:val="center"/>
              <w:rPr>
                <w:rFonts w:ascii="Times New Roman" w:cs="Times New Roman"/>
                <w:color w:val="auto"/>
                <w:sz w:val="18"/>
                <w:szCs w:val="18"/>
              </w:rPr>
            </w:pPr>
          </w:p>
        </w:tc>
        <w:tc>
          <w:tcPr>
            <w:tcW w:w="80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716" w:type="pct"/>
            <w:vAlign w:val="center"/>
          </w:tcPr>
          <w:p>
            <w:pPr>
              <w:pStyle w:val="117"/>
              <w:kinsoku w:val="0"/>
              <w:overflowPunct w:val="0"/>
              <w:spacing w:line="300" w:lineRule="auto"/>
              <w:jc w:val="center"/>
              <w:rPr>
                <w:rFonts w:ascii="Times New Roman" w:cs="Times New Roman"/>
                <w:color w:val="auto"/>
                <w:sz w:val="18"/>
                <w:szCs w:val="18"/>
              </w:rPr>
            </w:pPr>
          </w:p>
        </w:tc>
        <w:tc>
          <w:tcPr>
            <w:tcW w:w="1040"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项目技术负责人</w:t>
            </w:r>
          </w:p>
        </w:tc>
        <w:tc>
          <w:tcPr>
            <w:tcW w:w="576"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9"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分包单位</w:t>
            </w:r>
          </w:p>
        </w:tc>
        <w:tc>
          <w:tcPr>
            <w:tcW w:w="577" w:type="pct"/>
            <w:vAlign w:val="center"/>
          </w:tcPr>
          <w:p>
            <w:pPr>
              <w:pStyle w:val="117"/>
              <w:kinsoku w:val="0"/>
              <w:overflowPunct w:val="0"/>
              <w:spacing w:line="300" w:lineRule="auto"/>
              <w:jc w:val="center"/>
              <w:rPr>
                <w:rFonts w:ascii="Times New Roman" w:cs="Times New Roman"/>
                <w:color w:val="auto"/>
                <w:sz w:val="18"/>
                <w:szCs w:val="18"/>
              </w:rPr>
            </w:pPr>
          </w:p>
        </w:tc>
        <w:tc>
          <w:tcPr>
            <w:tcW w:w="802"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716" w:type="pct"/>
            <w:vAlign w:val="center"/>
          </w:tcPr>
          <w:p>
            <w:pPr>
              <w:pStyle w:val="117"/>
              <w:kinsoku w:val="0"/>
              <w:overflowPunct w:val="0"/>
              <w:spacing w:line="300" w:lineRule="auto"/>
              <w:jc w:val="center"/>
              <w:rPr>
                <w:rFonts w:ascii="Times New Roman" w:cs="Times New Roman"/>
                <w:color w:val="auto"/>
                <w:sz w:val="18"/>
                <w:szCs w:val="18"/>
              </w:rPr>
            </w:pPr>
          </w:p>
        </w:tc>
        <w:tc>
          <w:tcPr>
            <w:tcW w:w="1040"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项目技术负责人</w:t>
            </w:r>
          </w:p>
        </w:tc>
        <w:tc>
          <w:tcPr>
            <w:tcW w:w="576" w:type="pct"/>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编号</w:t>
            </w:r>
          </w:p>
        </w:tc>
        <w:tc>
          <w:tcPr>
            <w:tcW w:w="579"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容量</w:t>
            </w:r>
          </w:p>
        </w:tc>
        <w:tc>
          <w:tcPr>
            <w:tcW w:w="1237"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检验批所在的施工部位</w:t>
            </w:r>
          </w:p>
        </w:tc>
        <w:tc>
          <w:tcPr>
            <w:tcW w:w="1167" w:type="pct"/>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施工单位检查评定结果</w:t>
            </w:r>
          </w:p>
        </w:tc>
        <w:tc>
          <w:tcPr>
            <w:tcW w:w="1307" w:type="pct"/>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监理（建设）单位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710" w:type="pct"/>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579" w:type="pct"/>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1237" w:type="pct"/>
            <w:gridSpan w:val="2"/>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1167" w:type="pct"/>
            <w:gridSpan w:val="3"/>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1307" w:type="pct"/>
            <w:gridSpan w:val="2"/>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710"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共计检验</w:t>
            </w:r>
          </w:p>
          <w:p>
            <w:pPr>
              <w:pStyle w:val="117"/>
              <w:kinsoku w:val="0"/>
              <w:overflowPunct w:val="0"/>
              <w:spacing w:line="300" w:lineRule="auto"/>
              <w:jc w:val="center"/>
              <w:rPr>
                <w:rFonts w:ascii="Times New Roman" w:cs="Times New Roman"/>
                <w:color w:val="auto"/>
                <w:sz w:val="15"/>
                <w:szCs w:val="15"/>
              </w:rPr>
            </w:pPr>
            <w:r>
              <w:rPr>
                <w:rFonts w:ascii="Times New Roman" w:cs="Times New Roman"/>
                <w:color w:val="auto"/>
                <w:sz w:val="18"/>
                <w:szCs w:val="18"/>
              </w:rPr>
              <w:t>批数</w:t>
            </w:r>
          </w:p>
        </w:tc>
        <w:tc>
          <w:tcPr>
            <w:tcW w:w="4290" w:type="pct"/>
            <w:gridSpan w:val="8"/>
            <w:vAlign w:val="center"/>
          </w:tcPr>
          <w:p>
            <w:pPr>
              <w:kinsoku w:val="0"/>
              <w:overflowPunct w:val="0"/>
              <w:autoSpaceDE w:val="0"/>
              <w:autoSpaceDN w:val="0"/>
              <w:adjustRightInd w:val="0"/>
              <w:spacing w:line="300" w:lineRule="auto"/>
              <w:jc w:val="left"/>
              <w:rPr>
                <w:rFonts w:cs="Times New Roman"/>
                <w:color w:val="auto"/>
                <w:kern w:val="0"/>
                <w:sz w:val="18"/>
                <w:szCs w:val="18"/>
              </w:rPr>
            </w:pPr>
            <w:r>
              <w:rPr>
                <w:rFonts w:cs="Times New Roman"/>
                <w:color w:val="auto"/>
                <w:kern w:val="0"/>
                <w:sz w:val="18"/>
                <w:szCs w:val="18"/>
              </w:rPr>
              <w:t>备注：1. 与本分项包括的全部检验批所对应相关的下列文件资料均为真实、准确、齐全、有效、符合要求：</w:t>
            </w:r>
          </w:p>
          <w:p>
            <w:pPr>
              <w:numPr>
                <w:ilvl w:val="0"/>
                <w:numId w:val="18"/>
              </w:numPr>
              <w:tabs>
                <w:tab w:val="left" w:pos="436"/>
              </w:tabs>
              <w:kinsoku w:val="0"/>
              <w:overflowPunct w:val="0"/>
              <w:autoSpaceDE w:val="0"/>
              <w:autoSpaceDN w:val="0"/>
              <w:adjustRightInd w:val="0"/>
              <w:spacing w:line="300" w:lineRule="auto"/>
              <w:jc w:val="left"/>
              <w:rPr>
                <w:rFonts w:cs="Times New Roman"/>
                <w:color w:val="auto"/>
                <w:kern w:val="0"/>
                <w:sz w:val="18"/>
                <w:szCs w:val="18"/>
              </w:rPr>
            </w:pPr>
            <w:r>
              <w:rPr>
                <w:rFonts w:cs="Times New Roman"/>
                <w:color w:val="auto"/>
                <w:kern w:val="0"/>
                <w:sz w:val="18"/>
                <w:szCs w:val="18"/>
              </w:rPr>
              <w:t>□产品进场见证检验（复验）检测报告</w:t>
            </w:r>
          </w:p>
          <w:p>
            <w:pPr>
              <w:numPr>
                <w:ilvl w:val="0"/>
                <w:numId w:val="18"/>
              </w:numPr>
              <w:tabs>
                <w:tab w:val="left" w:pos="436"/>
              </w:tabs>
              <w:kinsoku w:val="0"/>
              <w:overflowPunct w:val="0"/>
              <w:autoSpaceDE w:val="0"/>
              <w:autoSpaceDN w:val="0"/>
              <w:adjustRightInd w:val="0"/>
              <w:spacing w:line="300" w:lineRule="auto"/>
              <w:jc w:val="left"/>
              <w:rPr>
                <w:rFonts w:cs="Times New Roman"/>
                <w:color w:val="auto"/>
                <w:kern w:val="0"/>
                <w:sz w:val="18"/>
                <w:szCs w:val="18"/>
              </w:rPr>
            </w:pPr>
            <w:r>
              <w:rPr>
                <w:rFonts w:cs="Times New Roman"/>
                <w:color w:val="auto"/>
                <w:kern w:val="0"/>
                <w:sz w:val="18"/>
                <w:szCs w:val="18"/>
              </w:rPr>
              <w:t>□现场试件（系统实体）检测报告</w:t>
            </w:r>
          </w:p>
          <w:p>
            <w:pPr>
              <w:numPr>
                <w:ilvl w:val="0"/>
                <w:numId w:val="18"/>
              </w:numPr>
              <w:tabs>
                <w:tab w:val="left" w:pos="436"/>
              </w:tabs>
              <w:kinsoku w:val="0"/>
              <w:overflowPunct w:val="0"/>
              <w:autoSpaceDE w:val="0"/>
              <w:autoSpaceDN w:val="0"/>
              <w:adjustRightInd w:val="0"/>
              <w:spacing w:line="300" w:lineRule="auto"/>
              <w:jc w:val="left"/>
              <w:rPr>
                <w:rFonts w:cs="Times New Roman"/>
                <w:color w:val="auto"/>
                <w:kern w:val="0"/>
                <w:sz w:val="18"/>
                <w:szCs w:val="18"/>
              </w:rPr>
            </w:pPr>
            <w:r>
              <w:rPr>
                <w:rFonts w:cs="Times New Roman"/>
                <w:color w:val="auto"/>
                <w:kern w:val="0"/>
                <w:sz w:val="18"/>
                <w:szCs w:val="18"/>
              </w:rPr>
              <w:t>□产品质量证明文件</w:t>
            </w:r>
          </w:p>
          <w:p>
            <w:pPr>
              <w:numPr>
                <w:ilvl w:val="0"/>
                <w:numId w:val="18"/>
              </w:numPr>
              <w:tabs>
                <w:tab w:val="left" w:pos="436"/>
              </w:tabs>
              <w:kinsoku w:val="0"/>
              <w:overflowPunct w:val="0"/>
              <w:autoSpaceDE w:val="0"/>
              <w:autoSpaceDN w:val="0"/>
              <w:adjustRightInd w:val="0"/>
              <w:spacing w:line="300" w:lineRule="auto"/>
              <w:jc w:val="left"/>
              <w:rPr>
                <w:rFonts w:cs="Times New Roman"/>
                <w:color w:val="auto"/>
                <w:kern w:val="0"/>
                <w:sz w:val="18"/>
                <w:szCs w:val="18"/>
              </w:rPr>
            </w:pPr>
            <w:r>
              <w:rPr>
                <w:rFonts w:cs="Times New Roman"/>
                <w:color w:val="auto"/>
                <w:kern w:val="0"/>
                <w:sz w:val="18"/>
                <w:szCs w:val="18"/>
              </w:rPr>
              <w:t>□施工过程的自检、调试等施工记录</w:t>
            </w:r>
          </w:p>
          <w:p>
            <w:pPr>
              <w:numPr>
                <w:ilvl w:val="0"/>
                <w:numId w:val="18"/>
              </w:numPr>
              <w:tabs>
                <w:tab w:val="left" w:pos="436"/>
              </w:tabs>
              <w:kinsoku w:val="0"/>
              <w:overflowPunct w:val="0"/>
              <w:autoSpaceDE w:val="0"/>
              <w:autoSpaceDN w:val="0"/>
              <w:adjustRightInd w:val="0"/>
              <w:spacing w:line="300" w:lineRule="auto"/>
              <w:jc w:val="left"/>
              <w:rPr>
                <w:rFonts w:cs="Times New Roman"/>
                <w:color w:val="auto"/>
                <w:kern w:val="0"/>
                <w:sz w:val="18"/>
                <w:szCs w:val="18"/>
              </w:rPr>
            </w:pPr>
            <w:r>
              <w:rPr>
                <w:rFonts w:cs="Times New Roman"/>
                <w:color w:val="auto"/>
                <w:kern w:val="0"/>
                <w:sz w:val="18"/>
                <w:szCs w:val="18"/>
              </w:rPr>
              <w:t>□隐蔽工程验收记录</w:t>
            </w:r>
          </w:p>
          <w:p>
            <w:pPr>
              <w:numPr>
                <w:ilvl w:val="0"/>
                <w:numId w:val="18"/>
              </w:numPr>
              <w:tabs>
                <w:tab w:val="left" w:pos="436"/>
              </w:tabs>
              <w:kinsoku w:val="0"/>
              <w:overflowPunct w:val="0"/>
              <w:autoSpaceDE w:val="0"/>
              <w:autoSpaceDN w:val="0"/>
              <w:adjustRightInd w:val="0"/>
              <w:spacing w:line="300" w:lineRule="auto"/>
              <w:jc w:val="left"/>
              <w:rPr>
                <w:rFonts w:cs="Times New Roman"/>
                <w:color w:val="auto"/>
                <w:kern w:val="0"/>
                <w:sz w:val="18"/>
                <w:szCs w:val="18"/>
              </w:rPr>
            </w:pPr>
            <w:r>
              <w:rPr>
                <w:rFonts w:cs="Times New Roman"/>
                <w:color w:val="auto"/>
                <w:kern w:val="0"/>
                <w:sz w:val="18"/>
                <w:szCs w:val="18"/>
              </w:rPr>
              <w:t>□检验批质量验收记录</w:t>
            </w:r>
          </w:p>
          <w:p>
            <w:pPr>
              <w:numPr>
                <w:ilvl w:val="0"/>
                <w:numId w:val="18"/>
              </w:numPr>
              <w:tabs>
                <w:tab w:val="left" w:pos="436"/>
              </w:tabs>
              <w:kinsoku w:val="0"/>
              <w:overflowPunct w:val="0"/>
              <w:autoSpaceDE w:val="0"/>
              <w:autoSpaceDN w:val="0"/>
              <w:adjustRightInd w:val="0"/>
              <w:spacing w:line="300" w:lineRule="auto"/>
              <w:jc w:val="left"/>
              <w:rPr>
                <w:rFonts w:cs="Times New Roman"/>
                <w:color w:val="auto"/>
                <w:kern w:val="0"/>
                <w:sz w:val="15"/>
                <w:szCs w:val="15"/>
              </w:rPr>
            </w:pPr>
            <w:r>
              <w:rPr>
                <w:rFonts w:cs="Times New Roman"/>
                <w:color w:val="auto"/>
                <w:kern w:val="0"/>
                <w:sz w:val="18"/>
                <w:szCs w:val="18"/>
              </w:rPr>
              <w:t>□与质量控制相关的其他管理（技术）文件、资料（注明）：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10"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检查评定</w:t>
            </w:r>
          </w:p>
          <w:p>
            <w:pPr>
              <w:pStyle w:val="117"/>
              <w:kinsoku w:val="0"/>
              <w:overflowPunct w:val="0"/>
              <w:spacing w:line="300" w:lineRule="auto"/>
              <w:jc w:val="center"/>
              <w:rPr>
                <w:rFonts w:ascii="Times New Roman" w:cs="Times New Roman"/>
                <w:color w:val="auto"/>
                <w:sz w:val="15"/>
                <w:szCs w:val="15"/>
              </w:rPr>
            </w:pPr>
            <w:r>
              <w:rPr>
                <w:rFonts w:ascii="Times New Roman" w:cs="Times New Roman"/>
                <w:color w:val="auto"/>
                <w:sz w:val="18"/>
                <w:szCs w:val="18"/>
              </w:rPr>
              <w:t>综合结果</w:t>
            </w:r>
          </w:p>
        </w:tc>
        <w:tc>
          <w:tcPr>
            <w:tcW w:w="4290" w:type="pct"/>
            <w:gridSpan w:val="8"/>
            <w:vAlign w:val="center"/>
          </w:tcPr>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tabs>
                <w:tab w:val="left" w:pos="4154"/>
                <w:tab w:val="left" w:pos="4603"/>
                <w:tab w:val="left" w:pos="5054"/>
              </w:tabs>
              <w:kinsoku w:val="0"/>
              <w:overflowPunct w:val="0"/>
              <w:autoSpaceDE w:val="0"/>
              <w:autoSpaceDN w:val="0"/>
              <w:adjustRightInd w:val="0"/>
              <w:spacing w:line="300" w:lineRule="auto"/>
              <w:jc w:val="center"/>
              <w:rPr>
                <w:rFonts w:cs="Times New Roman"/>
                <w:color w:val="auto"/>
                <w:kern w:val="0"/>
                <w:sz w:val="15"/>
                <w:szCs w:val="15"/>
              </w:rPr>
            </w:pPr>
            <w:r>
              <w:rPr>
                <w:rFonts w:cs="Times New Roman"/>
                <w:color w:val="auto"/>
                <w:kern w:val="0"/>
                <w:sz w:val="18"/>
                <w:szCs w:val="18"/>
              </w:rPr>
              <w:t>项目专业技术负责人签名：</w:t>
            </w:r>
            <w:r>
              <w:rPr>
                <w:rFonts w:cs="Times New Roman"/>
                <w:color w:val="auto"/>
                <w:kern w:val="0"/>
                <w:sz w:val="18"/>
                <w:szCs w:val="18"/>
              </w:rPr>
              <w:tab/>
            </w:r>
            <w:r>
              <w:rPr>
                <w:rFonts w:cs="Times New Roman"/>
                <w:color w:val="auto"/>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0" w:type="pct"/>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监理（建设）</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单位验收</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综合结论</w:t>
            </w:r>
          </w:p>
        </w:tc>
        <w:tc>
          <w:tcPr>
            <w:tcW w:w="4290" w:type="pct"/>
            <w:gridSpan w:val="8"/>
            <w:vAlign w:val="center"/>
          </w:tcPr>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2"/>
                <w:szCs w:val="12"/>
              </w:rPr>
            </w:pPr>
          </w:p>
          <w:p>
            <w:pPr>
              <w:tabs>
                <w:tab w:val="left" w:pos="4155"/>
                <w:tab w:val="left" w:pos="4604"/>
                <w:tab w:val="left" w:pos="5055"/>
              </w:tabs>
              <w:kinsoku w:val="0"/>
              <w:overflowPunct w:val="0"/>
              <w:autoSpaceDE w:val="0"/>
              <w:autoSpaceDN w:val="0"/>
              <w:adjustRightInd w:val="0"/>
              <w:spacing w:line="300" w:lineRule="auto"/>
              <w:jc w:val="center"/>
              <w:rPr>
                <w:rFonts w:cs="Times New Roman"/>
                <w:color w:val="auto"/>
                <w:kern w:val="0"/>
                <w:sz w:val="15"/>
                <w:szCs w:val="15"/>
              </w:rPr>
            </w:pPr>
            <w:r>
              <w:rPr>
                <w:rFonts w:cs="Times New Roman"/>
                <w:color w:val="auto"/>
                <w:kern w:val="0"/>
                <w:sz w:val="18"/>
                <w:szCs w:val="18"/>
              </w:rPr>
              <w:t>项目专业监理工程师（建设单位项目专业负责人）签名：</w:t>
            </w:r>
            <w:r>
              <w:rPr>
                <w:rFonts w:hint="eastAsia" w:cs="Times New Roman"/>
                <w:color w:val="auto"/>
                <w:kern w:val="0"/>
                <w:sz w:val="18"/>
                <w:szCs w:val="18"/>
              </w:rPr>
              <w:t xml:space="preserve">         </w:t>
            </w:r>
            <w:r>
              <w:rPr>
                <w:rFonts w:cs="Times New Roman"/>
                <w:color w:val="auto"/>
                <w:sz w:val="18"/>
                <w:szCs w:val="18"/>
              </w:rPr>
              <w:t>年   月   日</w:t>
            </w:r>
          </w:p>
        </w:tc>
      </w:tr>
    </w:tbl>
    <w:p>
      <w:pPr>
        <w:pStyle w:val="77"/>
        <w:spacing w:line="300" w:lineRule="auto"/>
        <w:ind w:firstLine="0" w:firstLineChars="0"/>
        <w:rPr>
          <w:rFonts w:ascii="Times New Roman" w:hAnsi="Times New Roman"/>
          <w:color w:val="auto"/>
          <w:sz w:val="24"/>
          <w:szCs w:val="24"/>
        </w:rPr>
      </w:pPr>
      <w:r>
        <w:rPr>
          <w:rFonts w:ascii="Times New Roman" w:hAnsi="Times New Roman"/>
          <w:color w:val="auto"/>
          <w:sz w:val="24"/>
          <w:szCs w:val="24"/>
        </w:rPr>
        <w:br w:type="page"/>
      </w:r>
    </w:p>
    <w:p>
      <w:pPr>
        <w:pStyle w:val="77"/>
        <w:spacing w:line="300" w:lineRule="auto"/>
        <w:ind w:firstLine="0" w:firstLineChars="0"/>
        <w:rPr>
          <w:rFonts w:ascii="Times New Roman" w:hAnsi="Times New Roman"/>
          <w:color w:val="auto"/>
        </w:rPr>
      </w:pPr>
      <w:r>
        <w:rPr>
          <w:rFonts w:ascii="Times New Roman" w:hAnsi="Times New Roman"/>
          <w:color w:val="auto"/>
          <w:sz w:val="24"/>
          <w:szCs w:val="24"/>
        </w:rPr>
        <w:t>A.8</w:t>
      </w:r>
      <w:r>
        <w:rPr>
          <w:rFonts w:ascii="Times New Roman" w:hAnsi="Times New Roman"/>
          <w:b/>
          <w:bCs/>
          <w:color w:val="auto"/>
          <w:kern w:val="2"/>
          <w:szCs w:val="24"/>
          <w:u w:val="single"/>
        </w:rPr>
        <w:tab/>
      </w:r>
      <w:r>
        <w:rPr>
          <w:rFonts w:ascii="Times New Roman" w:hAnsi="Times New Roman"/>
          <w:b/>
          <w:bCs/>
          <w:color w:val="auto"/>
          <w:kern w:val="2"/>
          <w:szCs w:val="24"/>
          <w:u w:val="single"/>
        </w:rPr>
        <w:t xml:space="preserve">       </w:t>
      </w:r>
      <w:r>
        <w:rPr>
          <w:rFonts w:ascii="Times New Roman" w:hAnsi="Times New Roman"/>
          <w:color w:val="auto"/>
          <w:kern w:val="2"/>
          <w:sz w:val="24"/>
          <w:szCs w:val="24"/>
        </w:rPr>
        <w:t>子分部（系统、子系统）工程质量验收记录</w:t>
      </w:r>
    </w:p>
    <w:tbl>
      <w:tblPr>
        <w:tblStyle w:val="32"/>
        <w:tblW w:w="853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2"/>
        <w:gridCol w:w="345"/>
        <w:gridCol w:w="305"/>
        <w:gridCol w:w="203"/>
        <w:gridCol w:w="195"/>
        <w:gridCol w:w="288"/>
        <w:gridCol w:w="1137"/>
        <w:gridCol w:w="117"/>
        <w:gridCol w:w="152"/>
        <w:gridCol w:w="723"/>
        <w:gridCol w:w="200"/>
        <w:gridCol w:w="783"/>
        <w:gridCol w:w="151"/>
        <w:gridCol w:w="991"/>
        <w:gridCol w:w="118"/>
        <w:gridCol w:w="587"/>
        <w:gridCol w:w="712"/>
        <w:gridCol w:w="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5" w:type="dxa"/>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单位（子单位）</w:t>
            </w:r>
          </w:p>
          <w:p>
            <w:pPr>
              <w:pStyle w:val="117"/>
              <w:kinsoku w:val="0"/>
              <w:overflowPunct w:val="0"/>
              <w:spacing w:line="300" w:lineRule="auto"/>
              <w:jc w:val="center"/>
              <w:rPr>
                <w:rFonts w:ascii="Times New Roman" w:cs="Times New Roman"/>
                <w:color w:val="auto"/>
                <w:sz w:val="15"/>
                <w:szCs w:val="15"/>
              </w:rPr>
            </w:pPr>
            <w:r>
              <w:rPr>
                <w:rFonts w:ascii="Times New Roman" w:cs="Times New Roman"/>
                <w:color w:val="auto"/>
                <w:sz w:val="18"/>
                <w:szCs w:val="18"/>
              </w:rPr>
              <w:t>工程名称</w:t>
            </w:r>
          </w:p>
        </w:tc>
        <w:tc>
          <w:tcPr>
            <w:tcW w:w="7067" w:type="dxa"/>
            <w:gridSpan w:val="14"/>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7"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tc>
        <w:tc>
          <w:tcPr>
            <w:tcW w:w="991" w:type="dxa"/>
            <w:gridSpan w:val="4"/>
            <w:vAlign w:val="center"/>
          </w:tcPr>
          <w:p>
            <w:pPr>
              <w:pStyle w:val="117"/>
              <w:kinsoku w:val="0"/>
              <w:overflowPunct w:val="0"/>
              <w:spacing w:line="300" w:lineRule="auto"/>
              <w:jc w:val="center"/>
              <w:rPr>
                <w:rFonts w:ascii="Times New Roman" w:cs="Times New Roman"/>
                <w:color w:val="auto"/>
                <w:sz w:val="18"/>
                <w:szCs w:val="18"/>
              </w:rPr>
            </w:pPr>
          </w:p>
        </w:tc>
        <w:tc>
          <w:tcPr>
            <w:tcW w:w="1137" w:type="dxa"/>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项目技术</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负责人</w:t>
            </w:r>
          </w:p>
        </w:tc>
        <w:tc>
          <w:tcPr>
            <w:tcW w:w="992" w:type="dxa"/>
            <w:gridSpan w:val="3"/>
            <w:vAlign w:val="center"/>
          </w:tcPr>
          <w:p>
            <w:pPr>
              <w:pStyle w:val="117"/>
              <w:kinsoku w:val="0"/>
              <w:overflowPunct w:val="0"/>
              <w:spacing w:line="300" w:lineRule="auto"/>
              <w:jc w:val="center"/>
              <w:rPr>
                <w:rFonts w:ascii="Times New Roman" w:cs="Times New Roman"/>
                <w:color w:val="auto"/>
                <w:sz w:val="18"/>
                <w:szCs w:val="18"/>
              </w:rPr>
            </w:pPr>
          </w:p>
        </w:tc>
        <w:tc>
          <w:tcPr>
            <w:tcW w:w="1134"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991" w:type="dxa"/>
            <w:vAlign w:val="center"/>
          </w:tcPr>
          <w:p>
            <w:pPr>
              <w:pStyle w:val="117"/>
              <w:kinsoku w:val="0"/>
              <w:overflowPunct w:val="0"/>
              <w:spacing w:line="300" w:lineRule="auto"/>
              <w:jc w:val="center"/>
              <w:rPr>
                <w:rFonts w:ascii="Times New Roman" w:cs="Times New Roman"/>
                <w:color w:val="auto"/>
                <w:sz w:val="18"/>
                <w:szCs w:val="18"/>
              </w:rPr>
            </w:pPr>
          </w:p>
        </w:tc>
        <w:tc>
          <w:tcPr>
            <w:tcW w:w="1417"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单位技术</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（质量）负责人</w:t>
            </w:r>
          </w:p>
        </w:tc>
        <w:tc>
          <w:tcPr>
            <w:tcW w:w="913" w:type="dxa"/>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7"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分包单位</w:t>
            </w:r>
          </w:p>
        </w:tc>
        <w:tc>
          <w:tcPr>
            <w:tcW w:w="991" w:type="dxa"/>
            <w:gridSpan w:val="4"/>
            <w:vAlign w:val="center"/>
          </w:tcPr>
          <w:p>
            <w:pPr>
              <w:pStyle w:val="117"/>
              <w:kinsoku w:val="0"/>
              <w:overflowPunct w:val="0"/>
              <w:spacing w:line="300" w:lineRule="auto"/>
              <w:jc w:val="center"/>
              <w:rPr>
                <w:rFonts w:ascii="Times New Roman" w:cs="Times New Roman"/>
                <w:color w:val="auto"/>
                <w:sz w:val="18"/>
                <w:szCs w:val="18"/>
              </w:rPr>
            </w:pPr>
          </w:p>
        </w:tc>
        <w:tc>
          <w:tcPr>
            <w:tcW w:w="1137" w:type="dxa"/>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项目技术</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负责人</w:t>
            </w:r>
          </w:p>
        </w:tc>
        <w:tc>
          <w:tcPr>
            <w:tcW w:w="992" w:type="dxa"/>
            <w:gridSpan w:val="3"/>
            <w:vAlign w:val="center"/>
          </w:tcPr>
          <w:p>
            <w:pPr>
              <w:pStyle w:val="117"/>
              <w:kinsoku w:val="0"/>
              <w:overflowPunct w:val="0"/>
              <w:spacing w:line="300" w:lineRule="auto"/>
              <w:jc w:val="center"/>
              <w:rPr>
                <w:rFonts w:ascii="Times New Roman" w:cs="Times New Roman"/>
                <w:color w:val="auto"/>
                <w:sz w:val="18"/>
                <w:szCs w:val="18"/>
              </w:rPr>
            </w:pPr>
          </w:p>
        </w:tc>
        <w:tc>
          <w:tcPr>
            <w:tcW w:w="1134"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tc>
        <w:tc>
          <w:tcPr>
            <w:tcW w:w="991" w:type="dxa"/>
            <w:vAlign w:val="center"/>
          </w:tcPr>
          <w:p>
            <w:pPr>
              <w:pStyle w:val="117"/>
              <w:kinsoku w:val="0"/>
              <w:overflowPunct w:val="0"/>
              <w:spacing w:line="300" w:lineRule="auto"/>
              <w:jc w:val="center"/>
              <w:rPr>
                <w:rFonts w:ascii="Times New Roman" w:cs="Times New Roman"/>
                <w:color w:val="auto"/>
                <w:sz w:val="18"/>
                <w:szCs w:val="18"/>
              </w:rPr>
            </w:pPr>
          </w:p>
        </w:tc>
        <w:tc>
          <w:tcPr>
            <w:tcW w:w="1417"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单位技术</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（质量）负责人</w:t>
            </w:r>
          </w:p>
        </w:tc>
        <w:tc>
          <w:tcPr>
            <w:tcW w:w="913" w:type="dxa"/>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12" w:type="dxa"/>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序号</w:t>
            </w:r>
          </w:p>
        </w:tc>
        <w:tc>
          <w:tcPr>
            <w:tcW w:w="2590" w:type="dxa"/>
            <w:gridSpan w:val="7"/>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隶属的分项工程名称</w:t>
            </w:r>
          </w:p>
        </w:tc>
        <w:tc>
          <w:tcPr>
            <w:tcW w:w="1075"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检验批数</w:t>
            </w:r>
          </w:p>
        </w:tc>
        <w:tc>
          <w:tcPr>
            <w:tcW w:w="2043" w:type="dxa"/>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施工单位检查评定结果</w:t>
            </w:r>
          </w:p>
        </w:tc>
        <w:tc>
          <w:tcPr>
            <w:tcW w:w="2212"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监理（建设）单位</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12" w:type="dxa"/>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2590" w:type="dxa"/>
            <w:gridSpan w:val="7"/>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1075" w:type="dxa"/>
            <w:gridSpan w:val="3"/>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2043" w:type="dxa"/>
            <w:gridSpan w:val="4"/>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2212" w:type="dxa"/>
            <w:gridSpan w:val="3"/>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2" w:type="dxa"/>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汇总</w:t>
            </w:r>
          </w:p>
        </w:tc>
        <w:tc>
          <w:tcPr>
            <w:tcW w:w="3665" w:type="dxa"/>
            <w:gridSpan w:val="10"/>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本子分部共计分项数：</w:t>
            </w:r>
            <w:r>
              <w:rPr>
                <w:rFonts w:ascii="Times New Roman" w:cs="Times New Roman"/>
                <w:color w:val="auto"/>
                <w:sz w:val="18"/>
                <w:szCs w:val="18"/>
                <w:u w:val="single"/>
              </w:rPr>
              <w:t xml:space="preserve"> </w:t>
            </w:r>
            <w:r>
              <w:rPr>
                <w:rFonts w:ascii="Times New Roman" w:cs="Times New Roman"/>
                <w:color w:val="auto"/>
                <w:sz w:val="18"/>
                <w:szCs w:val="18"/>
                <w:u w:val="single"/>
              </w:rPr>
              <w:tab/>
            </w:r>
            <w:r>
              <w:rPr>
                <w:rFonts w:ascii="Times New Roman" w:cs="Times New Roman"/>
                <w:color w:val="auto"/>
                <w:sz w:val="18"/>
                <w:szCs w:val="18"/>
              </w:rPr>
              <w:t>；检验批数：</w:t>
            </w:r>
          </w:p>
        </w:tc>
        <w:tc>
          <w:tcPr>
            <w:tcW w:w="2043" w:type="dxa"/>
            <w:gridSpan w:val="4"/>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2212" w:type="dxa"/>
            <w:gridSpan w:val="3"/>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7" w:type="dxa"/>
            <w:gridSpan w:val="11"/>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子分部（系统、子系统）、分项质量控制资料</w:t>
            </w:r>
          </w:p>
        </w:tc>
        <w:tc>
          <w:tcPr>
            <w:tcW w:w="2043" w:type="dxa"/>
            <w:gridSpan w:val="4"/>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2212" w:type="dxa"/>
            <w:gridSpan w:val="3"/>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7" w:type="dxa"/>
            <w:gridSpan w:val="11"/>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子分部（系统、子系统）、分项安全和功能检验</w:t>
            </w:r>
          </w:p>
        </w:tc>
        <w:tc>
          <w:tcPr>
            <w:tcW w:w="2043" w:type="dxa"/>
            <w:gridSpan w:val="4"/>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2212" w:type="dxa"/>
            <w:gridSpan w:val="3"/>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7" w:type="dxa"/>
            <w:gridSpan w:val="11"/>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子分部（系统、子系统）、分项观感质量</w:t>
            </w:r>
          </w:p>
        </w:tc>
        <w:tc>
          <w:tcPr>
            <w:tcW w:w="2043" w:type="dxa"/>
            <w:gridSpan w:val="4"/>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c>
          <w:tcPr>
            <w:tcW w:w="2212" w:type="dxa"/>
            <w:gridSpan w:val="3"/>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62"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综合验收</w:t>
            </w:r>
          </w:p>
          <w:p>
            <w:pPr>
              <w:pStyle w:val="117"/>
              <w:kinsoku w:val="0"/>
              <w:overflowPunct w:val="0"/>
              <w:spacing w:line="300" w:lineRule="auto"/>
              <w:jc w:val="center"/>
              <w:rPr>
                <w:rFonts w:ascii="Times New Roman" w:cs="Times New Roman"/>
                <w:color w:val="auto"/>
                <w:sz w:val="15"/>
                <w:szCs w:val="15"/>
              </w:rPr>
            </w:pPr>
            <w:r>
              <w:rPr>
                <w:rFonts w:ascii="Times New Roman" w:cs="Times New Roman"/>
                <w:color w:val="auto"/>
                <w:sz w:val="18"/>
                <w:szCs w:val="18"/>
              </w:rPr>
              <w:t>结论及备注</w:t>
            </w:r>
          </w:p>
        </w:tc>
        <w:tc>
          <w:tcPr>
            <w:tcW w:w="7270" w:type="dxa"/>
            <w:gridSpan w:val="15"/>
            <w:vAlign w:val="center"/>
          </w:tcPr>
          <w:p>
            <w:pPr>
              <w:kinsoku w:val="0"/>
              <w:overflowPunct w:val="0"/>
              <w:autoSpaceDE w:val="0"/>
              <w:autoSpaceDN w:val="0"/>
              <w:adjustRightInd w:val="0"/>
              <w:spacing w:line="300" w:lineRule="auto"/>
              <w:jc w:val="center"/>
              <w:rPr>
                <w:rFonts w:cs="Times New Roman"/>
                <w:color w:val="auto"/>
                <w:kern w:val="0"/>
                <w:sz w:val="14"/>
                <w:szCs w:val="1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0" w:type="dxa"/>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分包单位</w:t>
            </w:r>
          </w:p>
        </w:tc>
        <w:tc>
          <w:tcPr>
            <w:tcW w:w="1694" w:type="dxa"/>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施工单位</w:t>
            </w:r>
          </w:p>
        </w:tc>
        <w:tc>
          <w:tcPr>
            <w:tcW w:w="1706" w:type="dxa"/>
            <w:gridSpan w:val="3"/>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设计</w:t>
            </w:r>
            <w:r>
              <w:rPr>
                <w:rFonts w:ascii="Times New Roman" w:cs="Times New Roman"/>
                <w:color w:val="auto"/>
                <w:sz w:val="18"/>
                <w:szCs w:val="18"/>
              </w:rPr>
              <w:t>单位</w:t>
            </w:r>
          </w:p>
        </w:tc>
        <w:tc>
          <w:tcPr>
            <w:tcW w:w="1847" w:type="dxa"/>
            <w:gridSpan w:val="4"/>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监理</w:t>
            </w:r>
            <w:r>
              <w:rPr>
                <w:rFonts w:ascii="Times New Roman" w:cs="Times New Roman"/>
                <w:color w:val="auto"/>
                <w:sz w:val="18"/>
                <w:szCs w:val="18"/>
              </w:rPr>
              <w:t>单位</w:t>
            </w:r>
          </w:p>
        </w:tc>
        <w:tc>
          <w:tcPr>
            <w:tcW w:w="1625"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建设单位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1660" w:type="dxa"/>
            <w:gridSpan w:val="5"/>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项目负责人签名：</w:t>
            </w: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0"/>
                <w:szCs w:val="10"/>
              </w:rPr>
            </w:pP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年</w:t>
            </w:r>
            <w:r>
              <w:rPr>
                <w:rFonts w:ascii="Times New Roman" w:cs="Times New Roman"/>
                <w:color w:val="auto"/>
                <w:sz w:val="18"/>
                <w:szCs w:val="18"/>
              </w:rPr>
              <w:tab/>
            </w:r>
            <w:r>
              <w:rPr>
                <w:rFonts w:ascii="Times New Roman" w:cs="Times New Roman"/>
                <w:color w:val="auto"/>
                <w:sz w:val="18"/>
                <w:szCs w:val="18"/>
              </w:rPr>
              <w:t>月</w:t>
            </w:r>
            <w:r>
              <w:rPr>
                <w:rFonts w:ascii="Times New Roman" w:cs="Times New Roman"/>
                <w:color w:val="auto"/>
                <w:sz w:val="18"/>
                <w:szCs w:val="18"/>
              </w:rPr>
              <w:tab/>
            </w:r>
            <w:r>
              <w:rPr>
                <w:rFonts w:ascii="Times New Roman" w:cs="Times New Roman"/>
                <w:color w:val="auto"/>
                <w:sz w:val="18"/>
                <w:szCs w:val="18"/>
              </w:rPr>
              <w:t>日</w:t>
            </w:r>
          </w:p>
          <w:p>
            <w:pPr>
              <w:pStyle w:val="117"/>
              <w:kinsoku w:val="0"/>
              <w:overflowPunct w:val="0"/>
              <w:spacing w:line="300" w:lineRule="auto"/>
              <w:jc w:val="center"/>
              <w:rPr>
                <w:rFonts w:ascii="Times New Roman" w:cs="Times New Roman"/>
                <w:color w:val="auto"/>
                <w:sz w:val="15"/>
                <w:szCs w:val="15"/>
              </w:rPr>
            </w:pPr>
            <w:r>
              <w:rPr>
                <w:rFonts w:ascii="Times New Roman" w:cs="Times New Roman"/>
                <w:color w:val="auto"/>
                <w:sz w:val="18"/>
                <w:szCs w:val="18"/>
              </w:rPr>
              <w:t>（盖章）</w:t>
            </w:r>
          </w:p>
        </w:tc>
        <w:tc>
          <w:tcPr>
            <w:tcW w:w="1694" w:type="dxa"/>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项目负责人签名：</w:t>
            </w: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0"/>
                <w:szCs w:val="10"/>
              </w:rPr>
            </w:pP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年</w:t>
            </w:r>
            <w:r>
              <w:rPr>
                <w:rFonts w:ascii="Times New Roman" w:cs="Times New Roman"/>
                <w:color w:val="auto"/>
                <w:sz w:val="18"/>
                <w:szCs w:val="18"/>
              </w:rPr>
              <w:tab/>
            </w:r>
            <w:r>
              <w:rPr>
                <w:rFonts w:ascii="Times New Roman" w:cs="Times New Roman"/>
                <w:color w:val="auto"/>
                <w:sz w:val="18"/>
                <w:szCs w:val="18"/>
              </w:rPr>
              <w:t>月</w:t>
            </w:r>
            <w:r>
              <w:rPr>
                <w:rFonts w:ascii="Times New Roman" w:cs="Times New Roman"/>
                <w:color w:val="auto"/>
                <w:sz w:val="18"/>
                <w:szCs w:val="18"/>
              </w:rPr>
              <w:tab/>
            </w:r>
            <w:r>
              <w:rPr>
                <w:rFonts w:ascii="Times New Roman" w:cs="Times New Roman"/>
                <w:color w:val="auto"/>
                <w:sz w:val="18"/>
                <w:szCs w:val="18"/>
              </w:rPr>
              <w:t>日</w:t>
            </w:r>
          </w:p>
          <w:p>
            <w:pPr>
              <w:pStyle w:val="117"/>
              <w:kinsoku w:val="0"/>
              <w:overflowPunct w:val="0"/>
              <w:spacing w:line="300" w:lineRule="auto"/>
              <w:jc w:val="center"/>
              <w:rPr>
                <w:rFonts w:ascii="Times New Roman" w:cs="Times New Roman"/>
                <w:color w:val="auto"/>
                <w:sz w:val="15"/>
                <w:szCs w:val="15"/>
              </w:rPr>
            </w:pPr>
            <w:r>
              <w:rPr>
                <w:rFonts w:ascii="Times New Roman" w:cs="Times New Roman"/>
                <w:color w:val="auto"/>
                <w:sz w:val="18"/>
                <w:szCs w:val="18"/>
              </w:rPr>
              <w:t>（盖章）</w:t>
            </w:r>
          </w:p>
        </w:tc>
        <w:tc>
          <w:tcPr>
            <w:tcW w:w="1706"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项目负责人签名：</w:t>
            </w: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0"/>
                <w:szCs w:val="10"/>
              </w:rPr>
            </w:pP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年</w:t>
            </w:r>
            <w:r>
              <w:rPr>
                <w:rFonts w:ascii="Times New Roman" w:cs="Times New Roman"/>
                <w:color w:val="auto"/>
                <w:sz w:val="18"/>
                <w:szCs w:val="18"/>
              </w:rPr>
              <w:tab/>
            </w:r>
            <w:r>
              <w:rPr>
                <w:rFonts w:ascii="Times New Roman" w:cs="Times New Roman"/>
                <w:color w:val="auto"/>
                <w:sz w:val="18"/>
                <w:szCs w:val="18"/>
              </w:rPr>
              <w:t>月</w:t>
            </w:r>
            <w:r>
              <w:rPr>
                <w:rFonts w:ascii="Times New Roman" w:cs="Times New Roman"/>
                <w:color w:val="auto"/>
                <w:sz w:val="18"/>
                <w:szCs w:val="18"/>
              </w:rPr>
              <w:tab/>
            </w:r>
            <w:r>
              <w:rPr>
                <w:rFonts w:ascii="Times New Roman" w:cs="Times New Roman"/>
                <w:color w:val="auto"/>
                <w:sz w:val="18"/>
                <w:szCs w:val="18"/>
              </w:rPr>
              <w:t>日</w:t>
            </w:r>
          </w:p>
          <w:p>
            <w:pPr>
              <w:pStyle w:val="117"/>
              <w:kinsoku w:val="0"/>
              <w:overflowPunct w:val="0"/>
              <w:spacing w:line="300" w:lineRule="auto"/>
              <w:jc w:val="center"/>
              <w:rPr>
                <w:rFonts w:ascii="Times New Roman" w:cs="Times New Roman"/>
                <w:color w:val="auto"/>
                <w:sz w:val="15"/>
                <w:szCs w:val="15"/>
              </w:rPr>
            </w:pPr>
            <w:r>
              <w:rPr>
                <w:rFonts w:ascii="Times New Roman" w:cs="Times New Roman"/>
                <w:color w:val="auto"/>
                <w:sz w:val="18"/>
                <w:szCs w:val="18"/>
              </w:rPr>
              <w:t>（盖章）</w:t>
            </w:r>
          </w:p>
        </w:tc>
        <w:tc>
          <w:tcPr>
            <w:tcW w:w="1847" w:type="dxa"/>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总监理工程师签名：</w:t>
            </w: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0"/>
                <w:szCs w:val="10"/>
              </w:rPr>
            </w:pP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年</w:t>
            </w:r>
            <w:r>
              <w:rPr>
                <w:rFonts w:ascii="Times New Roman" w:cs="Times New Roman"/>
                <w:color w:val="auto"/>
                <w:sz w:val="18"/>
                <w:szCs w:val="18"/>
              </w:rPr>
              <w:tab/>
            </w:r>
            <w:r>
              <w:rPr>
                <w:rFonts w:ascii="Times New Roman" w:cs="Times New Roman"/>
                <w:color w:val="auto"/>
                <w:sz w:val="18"/>
                <w:szCs w:val="18"/>
              </w:rPr>
              <w:t>月</w:t>
            </w:r>
            <w:r>
              <w:rPr>
                <w:rFonts w:ascii="Times New Roman" w:cs="Times New Roman"/>
                <w:color w:val="auto"/>
                <w:sz w:val="18"/>
                <w:szCs w:val="18"/>
              </w:rPr>
              <w:tab/>
            </w:r>
            <w:r>
              <w:rPr>
                <w:rFonts w:ascii="Times New Roman" w:cs="Times New Roman"/>
                <w:color w:val="auto"/>
                <w:sz w:val="18"/>
                <w:szCs w:val="18"/>
              </w:rPr>
              <w:t>日</w:t>
            </w:r>
          </w:p>
          <w:p>
            <w:pPr>
              <w:pStyle w:val="117"/>
              <w:kinsoku w:val="0"/>
              <w:overflowPunct w:val="0"/>
              <w:spacing w:line="300" w:lineRule="auto"/>
              <w:jc w:val="center"/>
              <w:rPr>
                <w:rFonts w:ascii="Times New Roman" w:cs="Times New Roman"/>
                <w:color w:val="auto"/>
                <w:sz w:val="15"/>
                <w:szCs w:val="15"/>
              </w:rPr>
            </w:pPr>
            <w:r>
              <w:rPr>
                <w:rFonts w:ascii="Times New Roman" w:cs="Times New Roman"/>
                <w:color w:val="auto"/>
                <w:sz w:val="18"/>
                <w:szCs w:val="18"/>
              </w:rPr>
              <w:t>（盖章）</w:t>
            </w:r>
          </w:p>
        </w:tc>
        <w:tc>
          <w:tcPr>
            <w:tcW w:w="1625" w:type="dxa"/>
            <w:gridSpan w:val="2"/>
            <w:vAlign w:val="center"/>
          </w:tcPr>
          <w:p>
            <w:pPr>
              <w:pStyle w:val="117"/>
              <w:kinsoku w:val="0"/>
              <w:overflowPunct w:val="0"/>
              <w:spacing w:line="300" w:lineRule="auto"/>
              <w:rPr>
                <w:rFonts w:ascii="Times New Roman" w:cs="Times New Roman"/>
                <w:color w:val="auto"/>
                <w:sz w:val="18"/>
                <w:szCs w:val="18"/>
              </w:rPr>
            </w:pPr>
            <w:r>
              <w:rPr>
                <w:rFonts w:ascii="Times New Roman" w:cs="Times New Roman"/>
                <w:color w:val="auto"/>
                <w:sz w:val="18"/>
                <w:szCs w:val="18"/>
              </w:rPr>
              <w:t>项目负责人签名：</w:t>
            </w: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4"/>
                <w:szCs w:val="14"/>
              </w:rPr>
            </w:pPr>
          </w:p>
          <w:p>
            <w:pPr>
              <w:kinsoku w:val="0"/>
              <w:overflowPunct w:val="0"/>
              <w:autoSpaceDE w:val="0"/>
              <w:autoSpaceDN w:val="0"/>
              <w:adjustRightInd w:val="0"/>
              <w:spacing w:line="300" w:lineRule="auto"/>
              <w:jc w:val="center"/>
              <w:rPr>
                <w:rFonts w:cs="Times New Roman"/>
                <w:color w:val="auto"/>
                <w:kern w:val="0"/>
                <w:sz w:val="10"/>
                <w:szCs w:val="10"/>
              </w:rPr>
            </w:pP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年</w:t>
            </w:r>
            <w:r>
              <w:rPr>
                <w:rFonts w:ascii="Times New Roman" w:cs="Times New Roman"/>
                <w:color w:val="auto"/>
                <w:sz w:val="18"/>
                <w:szCs w:val="18"/>
              </w:rPr>
              <w:tab/>
            </w:r>
            <w:r>
              <w:rPr>
                <w:rFonts w:ascii="Times New Roman" w:cs="Times New Roman"/>
                <w:color w:val="auto"/>
                <w:sz w:val="18"/>
                <w:szCs w:val="18"/>
              </w:rPr>
              <w:t>月</w:t>
            </w:r>
            <w:r>
              <w:rPr>
                <w:rFonts w:ascii="Times New Roman" w:cs="Times New Roman"/>
                <w:color w:val="auto"/>
                <w:sz w:val="18"/>
                <w:szCs w:val="18"/>
              </w:rPr>
              <w:tab/>
            </w:r>
            <w:r>
              <w:rPr>
                <w:rFonts w:ascii="Times New Roman" w:cs="Times New Roman"/>
                <w:color w:val="auto"/>
                <w:sz w:val="18"/>
                <w:szCs w:val="18"/>
              </w:rPr>
              <w:t>日</w:t>
            </w:r>
          </w:p>
          <w:p>
            <w:pPr>
              <w:pStyle w:val="117"/>
              <w:kinsoku w:val="0"/>
              <w:overflowPunct w:val="0"/>
              <w:spacing w:line="300" w:lineRule="auto"/>
              <w:jc w:val="center"/>
              <w:rPr>
                <w:rFonts w:ascii="Times New Roman" w:cs="Times New Roman"/>
                <w:color w:val="auto"/>
                <w:sz w:val="15"/>
                <w:szCs w:val="15"/>
              </w:rPr>
            </w:pPr>
            <w:r>
              <w:rPr>
                <w:rFonts w:ascii="Times New Roman" w:cs="Times New Roman"/>
                <w:color w:val="auto"/>
                <w:sz w:val="18"/>
                <w:szCs w:val="18"/>
              </w:rPr>
              <w:t>（盖章）</w:t>
            </w:r>
          </w:p>
        </w:tc>
      </w:tr>
    </w:tbl>
    <w:p>
      <w:pPr>
        <w:widowControl/>
        <w:spacing w:line="300" w:lineRule="auto"/>
        <w:jc w:val="left"/>
        <w:rPr>
          <w:rFonts w:cs="Times New Roman"/>
          <w:color w:val="auto"/>
          <w:kern w:val="0"/>
          <w:szCs w:val="20"/>
        </w:rPr>
      </w:pPr>
      <w:r>
        <w:rPr>
          <w:color w:val="auto"/>
        </w:rPr>
        <w:br w:type="page"/>
      </w:r>
    </w:p>
    <w:p>
      <w:pPr>
        <w:pStyle w:val="77"/>
        <w:spacing w:before="156" w:beforeLines="50" w:line="300" w:lineRule="auto"/>
        <w:ind w:firstLine="0" w:firstLineChars="0"/>
        <w:rPr>
          <w:rFonts w:ascii="Times New Roman" w:hAnsi="Times New Roman"/>
          <w:color w:val="auto"/>
          <w:sz w:val="24"/>
          <w:szCs w:val="24"/>
        </w:rPr>
      </w:pPr>
      <w:r>
        <w:rPr>
          <w:rFonts w:ascii="Times New Roman" w:hAnsi="Times New Roman"/>
          <w:color w:val="auto"/>
          <w:sz w:val="24"/>
          <w:szCs w:val="24"/>
        </w:rPr>
        <w:t>A.9首段施工质量验收记录表格</w:t>
      </w:r>
    </w:p>
    <w:tbl>
      <w:tblPr>
        <w:tblStyle w:val="3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258"/>
        <w:gridCol w:w="942"/>
        <w:gridCol w:w="2466"/>
        <w:gridCol w:w="367"/>
        <w:gridCol w:w="1338"/>
        <w:gridCol w:w="17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704"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工程名称</w:t>
            </w:r>
          </w:p>
        </w:tc>
        <w:tc>
          <w:tcPr>
            <w:tcW w:w="3408" w:type="dxa"/>
            <w:gridSpan w:val="2"/>
            <w:vAlign w:val="center"/>
          </w:tcPr>
          <w:p>
            <w:pPr>
              <w:pStyle w:val="117"/>
              <w:kinsoku w:val="0"/>
              <w:overflowPunct w:val="0"/>
              <w:spacing w:line="300" w:lineRule="auto"/>
              <w:jc w:val="center"/>
              <w:rPr>
                <w:rFonts w:ascii="Times New Roman" w:cs="Times New Roman"/>
                <w:color w:val="auto"/>
                <w:sz w:val="18"/>
                <w:szCs w:val="18"/>
              </w:rPr>
            </w:pPr>
          </w:p>
        </w:tc>
        <w:tc>
          <w:tcPr>
            <w:tcW w:w="1705"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分部分项名称</w:t>
            </w:r>
          </w:p>
        </w:tc>
        <w:tc>
          <w:tcPr>
            <w:tcW w:w="1705" w:type="dxa"/>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建设单位</w:t>
            </w:r>
          </w:p>
        </w:tc>
        <w:tc>
          <w:tcPr>
            <w:tcW w:w="3408" w:type="dxa"/>
            <w:gridSpan w:val="2"/>
            <w:vAlign w:val="center"/>
          </w:tcPr>
          <w:p>
            <w:pPr>
              <w:pStyle w:val="117"/>
              <w:kinsoku w:val="0"/>
              <w:overflowPunct w:val="0"/>
              <w:spacing w:line="300" w:lineRule="auto"/>
              <w:jc w:val="center"/>
              <w:rPr>
                <w:rFonts w:ascii="Times New Roman" w:cs="Times New Roman"/>
                <w:color w:val="auto"/>
                <w:sz w:val="18"/>
                <w:szCs w:val="18"/>
              </w:rPr>
            </w:pPr>
          </w:p>
        </w:tc>
        <w:tc>
          <w:tcPr>
            <w:tcW w:w="1705"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设计单位</w:t>
            </w:r>
          </w:p>
        </w:tc>
        <w:tc>
          <w:tcPr>
            <w:tcW w:w="1705" w:type="dxa"/>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监理单位</w:t>
            </w:r>
          </w:p>
        </w:tc>
        <w:tc>
          <w:tcPr>
            <w:tcW w:w="3408" w:type="dxa"/>
            <w:gridSpan w:val="2"/>
            <w:vAlign w:val="center"/>
          </w:tcPr>
          <w:p>
            <w:pPr>
              <w:pStyle w:val="117"/>
              <w:kinsoku w:val="0"/>
              <w:overflowPunct w:val="0"/>
              <w:spacing w:line="300" w:lineRule="auto"/>
              <w:jc w:val="center"/>
              <w:rPr>
                <w:rFonts w:ascii="Times New Roman" w:cs="Times New Roman"/>
                <w:color w:val="auto"/>
                <w:sz w:val="18"/>
                <w:szCs w:val="18"/>
              </w:rPr>
            </w:pPr>
          </w:p>
        </w:tc>
        <w:tc>
          <w:tcPr>
            <w:tcW w:w="1705"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施工总承包单位</w:t>
            </w:r>
          </w:p>
        </w:tc>
        <w:tc>
          <w:tcPr>
            <w:tcW w:w="1705" w:type="dxa"/>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构件生产厂家</w:t>
            </w:r>
          </w:p>
        </w:tc>
        <w:tc>
          <w:tcPr>
            <w:tcW w:w="3408" w:type="dxa"/>
            <w:gridSpan w:val="2"/>
            <w:vAlign w:val="center"/>
          </w:tcPr>
          <w:p>
            <w:pPr>
              <w:pStyle w:val="117"/>
              <w:kinsoku w:val="0"/>
              <w:overflowPunct w:val="0"/>
              <w:spacing w:line="300" w:lineRule="auto"/>
              <w:jc w:val="center"/>
              <w:rPr>
                <w:rFonts w:ascii="Times New Roman" w:cs="Times New Roman"/>
                <w:color w:val="auto"/>
                <w:sz w:val="18"/>
                <w:szCs w:val="18"/>
              </w:rPr>
            </w:pPr>
          </w:p>
        </w:tc>
        <w:tc>
          <w:tcPr>
            <w:tcW w:w="1705"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首段验收部位</w:t>
            </w:r>
          </w:p>
        </w:tc>
        <w:tc>
          <w:tcPr>
            <w:tcW w:w="1705" w:type="dxa"/>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首段构件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112" w:type="dxa"/>
            <w:gridSpan w:val="4"/>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验收项目</w:t>
            </w:r>
          </w:p>
        </w:tc>
        <w:tc>
          <w:tcPr>
            <w:tcW w:w="1705"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检查情况</w:t>
            </w:r>
          </w:p>
        </w:tc>
        <w:tc>
          <w:tcPr>
            <w:tcW w:w="1705" w:type="dxa"/>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验收结论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4666"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预制构件生产厂家水泥、钢筋、预拌混凝土，套筒、灌浆料、 外墙构件嵌缝材料等质量证明文件和复验报告；其中自拌混凝土应有配合比报告，水泥、砂、石、混凝土强度报告等质保资料</w:t>
            </w:r>
          </w:p>
        </w:tc>
        <w:tc>
          <w:tcPr>
            <w:tcW w:w="1705" w:type="dxa"/>
            <w:gridSpan w:val="2"/>
            <w:vAlign w:val="center"/>
          </w:tcPr>
          <w:p>
            <w:pPr>
              <w:widowControl/>
              <w:spacing w:line="300" w:lineRule="auto"/>
              <w:jc w:val="center"/>
              <w:rPr>
                <w:rFonts w:cs="Times New Roman"/>
                <w:color w:val="auto"/>
                <w:kern w:val="0"/>
                <w:sz w:val="15"/>
                <w:szCs w:val="15"/>
              </w:rPr>
            </w:pPr>
          </w:p>
        </w:tc>
        <w:tc>
          <w:tcPr>
            <w:tcW w:w="1705" w:type="dxa"/>
            <w:vAlign w:val="center"/>
          </w:tcPr>
          <w:p>
            <w:pPr>
              <w:widowControl/>
              <w:spacing w:line="300" w:lineRule="auto"/>
              <w:jc w:val="center"/>
              <w:rPr>
                <w:rFonts w:cs="Times New Roman"/>
                <w:color w:val="auto"/>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dxa"/>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4666"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预制构件进场，其成品合格证、型式检验报告、混凝土强度报告等质量证明文件</w:t>
            </w:r>
          </w:p>
        </w:tc>
        <w:tc>
          <w:tcPr>
            <w:tcW w:w="1705" w:type="dxa"/>
            <w:gridSpan w:val="2"/>
            <w:vAlign w:val="center"/>
          </w:tcPr>
          <w:p>
            <w:pPr>
              <w:widowControl/>
              <w:spacing w:line="300" w:lineRule="auto"/>
              <w:jc w:val="center"/>
              <w:rPr>
                <w:rFonts w:cs="Times New Roman"/>
                <w:color w:val="auto"/>
                <w:kern w:val="0"/>
                <w:sz w:val="15"/>
                <w:szCs w:val="15"/>
              </w:rPr>
            </w:pPr>
          </w:p>
        </w:tc>
        <w:tc>
          <w:tcPr>
            <w:tcW w:w="1705" w:type="dxa"/>
            <w:vAlign w:val="center"/>
          </w:tcPr>
          <w:p>
            <w:pPr>
              <w:widowControl/>
              <w:spacing w:line="300" w:lineRule="auto"/>
              <w:jc w:val="center"/>
              <w:rPr>
                <w:rFonts w:cs="Times New Roman"/>
                <w:color w:val="auto"/>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dxa"/>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3</w:t>
            </w:r>
          </w:p>
        </w:tc>
        <w:tc>
          <w:tcPr>
            <w:tcW w:w="4666" w:type="dxa"/>
            <w:gridSpan w:val="3"/>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装配式混凝土结构连接节点现场检测报告</w:t>
            </w:r>
          </w:p>
        </w:tc>
        <w:tc>
          <w:tcPr>
            <w:tcW w:w="1705" w:type="dxa"/>
            <w:gridSpan w:val="2"/>
            <w:vAlign w:val="center"/>
          </w:tcPr>
          <w:p>
            <w:pPr>
              <w:widowControl/>
              <w:spacing w:line="300" w:lineRule="auto"/>
              <w:jc w:val="center"/>
              <w:rPr>
                <w:rFonts w:cs="Times New Roman"/>
                <w:color w:val="auto"/>
                <w:kern w:val="0"/>
                <w:sz w:val="15"/>
                <w:szCs w:val="15"/>
              </w:rPr>
            </w:pPr>
          </w:p>
        </w:tc>
        <w:tc>
          <w:tcPr>
            <w:tcW w:w="1705" w:type="dxa"/>
            <w:vAlign w:val="center"/>
          </w:tcPr>
          <w:p>
            <w:pPr>
              <w:widowControl/>
              <w:spacing w:line="300" w:lineRule="auto"/>
              <w:jc w:val="center"/>
              <w:rPr>
                <w:rFonts w:cs="Times New Roman"/>
                <w:color w:val="auto"/>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4</w:t>
            </w:r>
          </w:p>
        </w:tc>
        <w:tc>
          <w:tcPr>
            <w:tcW w:w="4666"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预制构件应有标识，应包括工程名称、构件型号、生产日期、生产单位、合格标识</w:t>
            </w:r>
          </w:p>
        </w:tc>
        <w:tc>
          <w:tcPr>
            <w:tcW w:w="1705" w:type="dxa"/>
            <w:gridSpan w:val="2"/>
            <w:vAlign w:val="center"/>
          </w:tcPr>
          <w:p>
            <w:pPr>
              <w:widowControl/>
              <w:spacing w:line="300" w:lineRule="auto"/>
              <w:jc w:val="center"/>
              <w:rPr>
                <w:rFonts w:cs="Times New Roman"/>
                <w:color w:val="auto"/>
                <w:kern w:val="0"/>
                <w:sz w:val="15"/>
                <w:szCs w:val="15"/>
              </w:rPr>
            </w:pPr>
          </w:p>
        </w:tc>
        <w:tc>
          <w:tcPr>
            <w:tcW w:w="1705" w:type="dxa"/>
            <w:vAlign w:val="center"/>
          </w:tcPr>
          <w:p>
            <w:pPr>
              <w:widowControl/>
              <w:spacing w:line="300" w:lineRule="auto"/>
              <w:jc w:val="center"/>
              <w:rPr>
                <w:rFonts w:cs="Times New Roman"/>
                <w:color w:val="auto"/>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4666"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预制构件上的预埋件、预留钢筋、预埋管线等，应符合规范 及设计要求</w:t>
            </w:r>
          </w:p>
        </w:tc>
        <w:tc>
          <w:tcPr>
            <w:tcW w:w="1705" w:type="dxa"/>
            <w:gridSpan w:val="2"/>
            <w:vAlign w:val="center"/>
          </w:tcPr>
          <w:p>
            <w:pPr>
              <w:widowControl/>
              <w:spacing w:line="300" w:lineRule="auto"/>
              <w:jc w:val="center"/>
              <w:rPr>
                <w:rFonts w:cs="Times New Roman"/>
                <w:color w:val="auto"/>
                <w:kern w:val="0"/>
                <w:sz w:val="15"/>
                <w:szCs w:val="15"/>
              </w:rPr>
            </w:pPr>
          </w:p>
        </w:tc>
        <w:tc>
          <w:tcPr>
            <w:tcW w:w="1705" w:type="dxa"/>
            <w:vAlign w:val="center"/>
          </w:tcPr>
          <w:p>
            <w:pPr>
              <w:widowControl/>
              <w:spacing w:line="300" w:lineRule="auto"/>
              <w:jc w:val="center"/>
              <w:rPr>
                <w:rFonts w:cs="Times New Roman"/>
                <w:color w:val="auto"/>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6</w:t>
            </w:r>
          </w:p>
        </w:tc>
        <w:tc>
          <w:tcPr>
            <w:tcW w:w="4666"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预制构件的外观质量及尺寸应符合规范及设计要求</w:t>
            </w:r>
          </w:p>
        </w:tc>
        <w:tc>
          <w:tcPr>
            <w:tcW w:w="1705" w:type="dxa"/>
            <w:gridSpan w:val="2"/>
            <w:vAlign w:val="center"/>
          </w:tcPr>
          <w:p>
            <w:pPr>
              <w:widowControl/>
              <w:spacing w:line="300" w:lineRule="auto"/>
              <w:jc w:val="center"/>
              <w:rPr>
                <w:rFonts w:cs="Times New Roman"/>
                <w:color w:val="auto"/>
                <w:kern w:val="0"/>
                <w:sz w:val="15"/>
                <w:szCs w:val="15"/>
              </w:rPr>
            </w:pPr>
          </w:p>
        </w:tc>
        <w:tc>
          <w:tcPr>
            <w:tcW w:w="1705" w:type="dxa"/>
            <w:vAlign w:val="center"/>
          </w:tcPr>
          <w:p>
            <w:pPr>
              <w:widowControl/>
              <w:spacing w:line="300" w:lineRule="auto"/>
              <w:jc w:val="center"/>
              <w:rPr>
                <w:rFonts w:cs="Times New Roman"/>
                <w:color w:val="auto"/>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pPr>
              <w:pStyle w:val="117"/>
              <w:kinsoku w:val="0"/>
              <w:overflowPunct w:val="0"/>
              <w:spacing w:line="300" w:lineRule="auto"/>
              <w:jc w:val="center"/>
              <w:rPr>
                <w:rFonts w:ascii="Times New Roman" w:cs="Times New Roman"/>
                <w:color w:val="auto"/>
                <w:sz w:val="15"/>
                <w:szCs w:val="15"/>
              </w:rPr>
            </w:pPr>
            <w:r>
              <w:rPr>
                <w:rFonts w:ascii="Times New Roman" w:cs="Times New Roman"/>
                <w:color w:val="auto"/>
                <w:sz w:val="18"/>
                <w:szCs w:val="18"/>
              </w:rPr>
              <w:t>验 收 会 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646" w:type="dxa"/>
            <w:gridSpan w:val="3"/>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设计单位意见：</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p>
            <w:pPr>
              <w:pStyle w:val="117"/>
              <w:kinsoku w:val="0"/>
              <w:overflowPunct w:val="0"/>
              <w:spacing w:line="300" w:lineRule="auto"/>
              <w:ind w:firstLine="360" w:firstLineChars="200"/>
              <w:jc w:val="center"/>
              <w:rPr>
                <w:rFonts w:ascii="Times New Roman" w:cs="Times New Roman"/>
                <w:color w:val="auto"/>
                <w:sz w:val="18"/>
                <w:szCs w:val="18"/>
              </w:rPr>
            </w:pPr>
            <w:r>
              <w:rPr>
                <w:rFonts w:ascii="Times New Roman" w:cs="Times New Roman"/>
                <w:color w:val="auto"/>
                <w:sz w:val="18"/>
                <w:szCs w:val="18"/>
              </w:rPr>
              <w:t>年   月   日</w:t>
            </w:r>
          </w:p>
        </w:tc>
        <w:tc>
          <w:tcPr>
            <w:tcW w:w="2833"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建设单位意见：</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p>
            <w:pPr>
              <w:pStyle w:val="117"/>
              <w:kinsoku w:val="0"/>
              <w:overflowPunct w:val="0"/>
              <w:spacing w:line="300" w:lineRule="auto"/>
              <w:ind w:firstLine="360" w:firstLineChars="200"/>
              <w:jc w:val="center"/>
              <w:rPr>
                <w:rFonts w:ascii="Times New Roman" w:cs="Times New Roman"/>
                <w:color w:val="auto"/>
                <w:sz w:val="18"/>
                <w:szCs w:val="18"/>
              </w:rPr>
            </w:pPr>
            <w:r>
              <w:rPr>
                <w:rFonts w:ascii="Times New Roman" w:cs="Times New Roman"/>
                <w:color w:val="auto"/>
                <w:sz w:val="18"/>
                <w:szCs w:val="18"/>
              </w:rPr>
              <w:t>年   月   日</w:t>
            </w:r>
          </w:p>
        </w:tc>
        <w:tc>
          <w:tcPr>
            <w:tcW w:w="3043" w:type="dxa"/>
            <w:gridSpan w:val="2"/>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监理</w:t>
            </w:r>
            <w:r>
              <w:rPr>
                <w:rFonts w:ascii="Times New Roman" w:cs="Times New Roman"/>
                <w:color w:val="auto"/>
                <w:sz w:val="18"/>
                <w:szCs w:val="18"/>
              </w:rPr>
              <w:t>单位意见：</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p>
            <w:pPr>
              <w:pStyle w:val="117"/>
              <w:kinsoku w:val="0"/>
              <w:overflowPunct w:val="0"/>
              <w:spacing w:line="300" w:lineRule="auto"/>
              <w:ind w:firstLine="360" w:firstLineChars="200"/>
              <w:jc w:val="center"/>
              <w:rPr>
                <w:rFonts w:ascii="Times New Roman" w:cs="Times New Roman"/>
                <w:color w:val="auto"/>
                <w:sz w:val="18"/>
                <w:szCs w:val="18"/>
              </w:rPr>
            </w:pPr>
            <w:r>
              <w:rPr>
                <w:rFonts w:ascii="Times New Roman" w:cs="Times New Roman"/>
                <w:color w:val="auto"/>
                <w:sz w:val="18"/>
                <w:szCs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646" w:type="dxa"/>
            <w:gridSpan w:val="3"/>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总承包单位</w:t>
            </w:r>
            <w:r>
              <w:rPr>
                <w:rFonts w:ascii="Times New Roman" w:cs="Times New Roman"/>
                <w:color w:val="auto"/>
                <w:sz w:val="18"/>
                <w:szCs w:val="18"/>
              </w:rPr>
              <w:t>意见：</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p>
            <w:pPr>
              <w:pStyle w:val="117"/>
              <w:kinsoku w:val="0"/>
              <w:overflowPunct w:val="0"/>
              <w:spacing w:line="300" w:lineRule="auto"/>
              <w:ind w:firstLine="360" w:firstLineChars="200"/>
              <w:jc w:val="center"/>
              <w:rPr>
                <w:rFonts w:ascii="Times New Roman" w:cs="Times New Roman"/>
                <w:color w:val="auto"/>
                <w:sz w:val="18"/>
                <w:szCs w:val="18"/>
              </w:rPr>
            </w:pPr>
            <w:r>
              <w:rPr>
                <w:rFonts w:ascii="Times New Roman" w:cs="Times New Roman"/>
                <w:color w:val="auto"/>
                <w:sz w:val="18"/>
                <w:szCs w:val="18"/>
              </w:rPr>
              <w:t>年   月   日</w:t>
            </w:r>
          </w:p>
        </w:tc>
        <w:tc>
          <w:tcPr>
            <w:tcW w:w="2833" w:type="dxa"/>
            <w:gridSpan w:val="2"/>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构件生产厂家</w:t>
            </w:r>
            <w:r>
              <w:rPr>
                <w:rFonts w:ascii="Times New Roman" w:cs="Times New Roman"/>
                <w:color w:val="auto"/>
                <w:sz w:val="18"/>
                <w:szCs w:val="18"/>
              </w:rPr>
              <w:t>意见：</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p>
            <w:pPr>
              <w:pStyle w:val="117"/>
              <w:kinsoku w:val="0"/>
              <w:overflowPunct w:val="0"/>
              <w:spacing w:line="300" w:lineRule="auto"/>
              <w:ind w:firstLine="360" w:firstLineChars="200"/>
              <w:jc w:val="center"/>
              <w:rPr>
                <w:rFonts w:ascii="Times New Roman" w:cs="Times New Roman"/>
                <w:color w:val="auto"/>
                <w:sz w:val="18"/>
                <w:szCs w:val="18"/>
              </w:rPr>
            </w:pPr>
            <w:r>
              <w:rPr>
                <w:rFonts w:ascii="Times New Roman" w:cs="Times New Roman"/>
                <w:color w:val="auto"/>
                <w:sz w:val="18"/>
                <w:szCs w:val="18"/>
              </w:rPr>
              <w:t>年   月   日</w:t>
            </w:r>
          </w:p>
        </w:tc>
        <w:tc>
          <w:tcPr>
            <w:tcW w:w="3043" w:type="dxa"/>
            <w:gridSpan w:val="2"/>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相关单位意见：</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项目负责人：</w:t>
            </w:r>
          </w:p>
          <w:p>
            <w:pPr>
              <w:pStyle w:val="117"/>
              <w:kinsoku w:val="0"/>
              <w:overflowPunct w:val="0"/>
              <w:spacing w:line="300" w:lineRule="auto"/>
              <w:ind w:firstLine="360" w:firstLineChars="200"/>
              <w:jc w:val="center"/>
              <w:rPr>
                <w:rFonts w:ascii="Times New Roman" w:cs="Times New Roman"/>
                <w:color w:val="auto"/>
                <w:sz w:val="18"/>
                <w:szCs w:val="18"/>
              </w:rPr>
            </w:pPr>
            <w:r>
              <w:rPr>
                <w:rFonts w:ascii="Times New Roman" w:cs="Times New Roman"/>
                <w:color w:val="auto"/>
                <w:sz w:val="18"/>
                <w:szCs w:val="18"/>
              </w:rPr>
              <w:t>年   月   日</w:t>
            </w:r>
          </w:p>
        </w:tc>
      </w:tr>
    </w:tbl>
    <w:p>
      <w:pPr>
        <w:pStyle w:val="77"/>
        <w:spacing w:after="156" w:afterLines="50" w:line="300" w:lineRule="auto"/>
        <w:ind w:firstLine="0" w:firstLineChars="0"/>
        <w:rPr>
          <w:rFonts w:ascii="Times New Roman" w:hAnsi="Times New Roman"/>
          <w:color w:val="auto"/>
          <w:sz w:val="24"/>
          <w:szCs w:val="24"/>
        </w:rPr>
      </w:pPr>
    </w:p>
    <w:p>
      <w:pPr>
        <w:pStyle w:val="77"/>
        <w:spacing w:line="300" w:lineRule="auto"/>
        <w:ind w:firstLine="0" w:firstLineChars="0"/>
        <w:rPr>
          <w:rFonts w:ascii="Times New Roman" w:hAnsi="Times New Roman"/>
          <w:color w:val="auto"/>
        </w:rPr>
      </w:pPr>
    </w:p>
    <w:p>
      <w:pPr>
        <w:pStyle w:val="77"/>
        <w:spacing w:line="300" w:lineRule="auto"/>
        <w:ind w:firstLine="0" w:firstLineChars="0"/>
        <w:rPr>
          <w:rFonts w:ascii="Times New Roman" w:hAnsi="Times New Roman"/>
          <w:color w:val="auto"/>
        </w:rPr>
      </w:pPr>
    </w:p>
    <w:p>
      <w:pPr>
        <w:pStyle w:val="77"/>
        <w:spacing w:line="300" w:lineRule="auto"/>
        <w:ind w:firstLine="0" w:firstLineChars="0"/>
        <w:rPr>
          <w:rFonts w:ascii="Times New Roman" w:hAnsi="Times New Roman"/>
          <w:color w:val="auto"/>
        </w:rPr>
      </w:pPr>
    </w:p>
    <w:p>
      <w:pPr>
        <w:pStyle w:val="77"/>
        <w:spacing w:line="300" w:lineRule="auto"/>
        <w:ind w:firstLine="0" w:firstLineChars="0"/>
        <w:rPr>
          <w:rFonts w:ascii="Times New Roman" w:hAnsi="Times New Roman"/>
          <w:color w:val="auto"/>
        </w:rPr>
        <w:sectPr>
          <w:pgSz w:w="11906" w:h="16838"/>
          <w:pgMar w:top="1440" w:right="1800" w:bottom="1440" w:left="1800" w:header="851" w:footer="992" w:gutter="0"/>
          <w:cols w:space="425" w:num="1"/>
          <w:docGrid w:type="lines" w:linePitch="312" w:charSpace="0"/>
        </w:sectPr>
      </w:pPr>
    </w:p>
    <w:p>
      <w:pPr>
        <w:pStyle w:val="3"/>
        <w:numPr>
          <w:ilvl w:val="0"/>
          <w:numId w:val="0"/>
        </w:numPr>
        <w:spacing w:before="312" w:after="312"/>
        <w:ind w:left="432"/>
        <w:jc w:val="center"/>
        <w:rPr>
          <w:color w:val="auto"/>
        </w:rPr>
      </w:pPr>
      <w:bookmarkStart w:id="190" w:name="_Toc147952073"/>
      <w:r>
        <w:rPr>
          <w:color w:val="auto"/>
        </w:rPr>
        <w:t>附录B（资料性） 现场材料进场复验</w:t>
      </w:r>
      <w:bookmarkEnd w:id="190"/>
    </w:p>
    <w:p>
      <w:pPr>
        <w:pStyle w:val="77"/>
        <w:spacing w:after="156" w:afterLines="50" w:line="300" w:lineRule="auto"/>
        <w:ind w:firstLine="0" w:firstLineChars="0"/>
        <w:jc w:val="center"/>
        <w:rPr>
          <w:rFonts w:ascii="Times New Roman" w:hAnsi="Times New Roman"/>
          <w:color w:val="auto"/>
          <w:sz w:val="24"/>
          <w:szCs w:val="24"/>
        </w:rPr>
      </w:pPr>
      <w:r>
        <w:rPr>
          <w:rFonts w:ascii="Times New Roman" w:hAnsi="Times New Roman"/>
          <w:color w:val="auto"/>
          <w:sz w:val="24"/>
          <w:szCs w:val="24"/>
        </w:rPr>
        <w:t>表B-1现场施工材料进场检测一览表</w:t>
      </w:r>
    </w:p>
    <w:tbl>
      <w:tblPr>
        <w:tblStyle w:val="32"/>
        <w:tblW w:w="136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716"/>
        <w:gridCol w:w="1853"/>
        <w:gridCol w:w="3130"/>
        <w:gridCol w:w="2281"/>
        <w:gridCol w:w="2411"/>
        <w:gridCol w:w="21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8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序号</w:t>
            </w:r>
          </w:p>
        </w:tc>
        <w:tc>
          <w:tcPr>
            <w:tcW w:w="2569" w:type="dxa"/>
            <w:gridSpan w:val="2"/>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材料名称</w:t>
            </w:r>
          </w:p>
        </w:tc>
        <w:tc>
          <w:tcPr>
            <w:tcW w:w="313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抽样频率</w:t>
            </w:r>
          </w:p>
        </w:tc>
        <w:tc>
          <w:tcPr>
            <w:tcW w:w="228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检测参数</w:t>
            </w:r>
          </w:p>
        </w:tc>
        <w:tc>
          <w:tcPr>
            <w:tcW w:w="241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检测方法</w:t>
            </w:r>
          </w:p>
        </w:tc>
        <w:tc>
          <w:tcPr>
            <w:tcW w:w="2141" w:type="dxa"/>
            <w:tcBorders>
              <w:tl2br w:val="nil"/>
              <w:tr2bl w:val="nil"/>
            </w:tcBorders>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8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716"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原材料</w:t>
            </w:r>
          </w:p>
        </w:tc>
        <w:tc>
          <w:tcPr>
            <w:tcW w:w="185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钢筋混凝土及其组成材料（钢筋及其连接、水泥、砂石、外加剂、外掺料等）</w:t>
            </w:r>
          </w:p>
        </w:tc>
        <w:tc>
          <w:tcPr>
            <w:tcW w:w="7822" w:type="dxa"/>
            <w:gridSpan w:val="3"/>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抽样频率、抽样数量、检测参数、方法同现浇混凝土结构。</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进入施工现场后复检，施工过程中留置试件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8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716" w:type="dxa"/>
            <w:vMerge w:val="restart"/>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连接材料</w:t>
            </w:r>
          </w:p>
        </w:tc>
        <w:tc>
          <w:tcPr>
            <w:tcW w:w="185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套筒连接用灌浆料</w:t>
            </w:r>
          </w:p>
        </w:tc>
        <w:tc>
          <w:tcPr>
            <w:tcW w:w="313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同配方、同批号原材料的产品应以50t作为1</w:t>
            </w:r>
            <w:r>
              <w:rPr>
                <w:rFonts w:hint="eastAsia" w:ascii="Times New Roman" w:cs="Times New Roman"/>
                <w:color w:val="auto"/>
                <w:sz w:val="18"/>
                <w:szCs w:val="18"/>
              </w:rPr>
              <w:t>个</w:t>
            </w:r>
            <w:r>
              <w:rPr>
                <w:rFonts w:ascii="Times New Roman" w:cs="Times New Roman"/>
                <w:color w:val="auto"/>
                <w:sz w:val="18"/>
                <w:szCs w:val="18"/>
              </w:rPr>
              <w:t>检验批</w:t>
            </w:r>
            <w:r>
              <w:rPr>
                <w:rFonts w:hint="eastAsia" w:ascii="Times New Roman" w:cs="Times New Roman"/>
                <w:color w:val="auto"/>
                <w:sz w:val="18"/>
                <w:szCs w:val="18"/>
              </w:rPr>
              <w:t>，</w:t>
            </w:r>
            <w:r>
              <w:rPr>
                <w:rFonts w:ascii="Times New Roman" w:cs="Times New Roman"/>
                <w:color w:val="auto"/>
                <w:sz w:val="18"/>
                <w:szCs w:val="18"/>
              </w:rPr>
              <w:t>不足50</w:t>
            </w:r>
            <w:r>
              <w:rPr>
                <w:rFonts w:hint="eastAsia" w:ascii="Times New Roman" w:cs="Times New Roman"/>
                <w:color w:val="auto"/>
                <w:sz w:val="18"/>
                <w:szCs w:val="18"/>
              </w:rPr>
              <w:t>t</w:t>
            </w:r>
            <w:r>
              <w:rPr>
                <w:rFonts w:ascii="Times New Roman" w:cs="Times New Roman"/>
                <w:color w:val="auto"/>
                <w:sz w:val="18"/>
                <w:szCs w:val="18"/>
              </w:rPr>
              <w:t>也应作为1</w:t>
            </w:r>
            <w:r>
              <w:rPr>
                <w:rFonts w:hint="eastAsia" w:ascii="Times New Roman" w:cs="Times New Roman"/>
                <w:color w:val="auto"/>
                <w:sz w:val="18"/>
                <w:szCs w:val="18"/>
              </w:rPr>
              <w:t>个</w:t>
            </w:r>
            <w:r>
              <w:rPr>
                <w:rFonts w:ascii="Times New Roman" w:cs="Times New Roman"/>
                <w:color w:val="auto"/>
                <w:sz w:val="18"/>
                <w:szCs w:val="18"/>
              </w:rPr>
              <w:t>检验批。</w:t>
            </w:r>
          </w:p>
        </w:tc>
        <w:tc>
          <w:tcPr>
            <w:tcW w:w="228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流动度、抗压强度、竖向膨胀率、自干燥收缩、氯离子含量、泌水率</w:t>
            </w:r>
          </w:p>
        </w:tc>
        <w:tc>
          <w:tcPr>
            <w:tcW w:w="241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JG/T 408、GB/T 8077、GB/T 50080</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进入施工现场后，使用前复检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8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3</w:t>
            </w:r>
          </w:p>
        </w:tc>
        <w:tc>
          <w:tcPr>
            <w:tcW w:w="716"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5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套筒连接竖向构件底部接缝座浆料</w:t>
            </w:r>
          </w:p>
        </w:tc>
        <w:tc>
          <w:tcPr>
            <w:tcW w:w="313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同</w:t>
            </w:r>
            <w:r>
              <w:rPr>
                <w:rFonts w:hint="eastAsia" w:ascii="Times New Roman" w:cs="Times New Roman"/>
                <w:color w:val="auto"/>
                <w:sz w:val="18"/>
                <w:szCs w:val="18"/>
              </w:rPr>
              <w:t>成分</w:t>
            </w:r>
            <w:r>
              <w:rPr>
                <w:rFonts w:ascii="Times New Roman" w:cs="Times New Roman"/>
                <w:color w:val="auto"/>
                <w:sz w:val="18"/>
                <w:szCs w:val="18"/>
              </w:rPr>
              <w:t>、同批号原材料的产品应以50</w:t>
            </w:r>
            <w:r>
              <w:rPr>
                <w:rFonts w:hint="eastAsia" w:ascii="Times New Roman" w:cs="Times New Roman"/>
                <w:color w:val="auto"/>
                <w:sz w:val="18"/>
                <w:szCs w:val="18"/>
              </w:rPr>
              <w:t>t</w:t>
            </w:r>
            <w:r>
              <w:rPr>
                <w:rFonts w:ascii="Times New Roman" w:cs="Times New Roman"/>
                <w:color w:val="auto"/>
                <w:sz w:val="18"/>
                <w:szCs w:val="18"/>
              </w:rPr>
              <w:t>作为1</w:t>
            </w:r>
            <w:r>
              <w:rPr>
                <w:rFonts w:hint="eastAsia" w:ascii="Times New Roman" w:cs="Times New Roman"/>
                <w:color w:val="auto"/>
                <w:sz w:val="18"/>
                <w:szCs w:val="18"/>
              </w:rPr>
              <w:t>个</w:t>
            </w:r>
            <w:r>
              <w:rPr>
                <w:rFonts w:ascii="Times New Roman" w:cs="Times New Roman"/>
                <w:color w:val="auto"/>
                <w:sz w:val="18"/>
                <w:szCs w:val="18"/>
              </w:rPr>
              <w:t>检验批</w:t>
            </w:r>
            <w:r>
              <w:rPr>
                <w:rFonts w:hint="eastAsia" w:ascii="Times New Roman" w:cs="Times New Roman"/>
                <w:color w:val="auto"/>
                <w:sz w:val="18"/>
                <w:szCs w:val="18"/>
              </w:rPr>
              <w:t>，</w:t>
            </w:r>
            <w:r>
              <w:rPr>
                <w:rFonts w:ascii="Times New Roman" w:cs="Times New Roman"/>
                <w:color w:val="auto"/>
                <w:sz w:val="18"/>
                <w:szCs w:val="18"/>
              </w:rPr>
              <w:t>不足50</w:t>
            </w:r>
            <w:r>
              <w:rPr>
                <w:rFonts w:hint="eastAsia" w:ascii="Times New Roman" w:cs="Times New Roman"/>
                <w:color w:val="auto"/>
                <w:sz w:val="18"/>
                <w:szCs w:val="18"/>
              </w:rPr>
              <w:t>t</w:t>
            </w:r>
            <w:r>
              <w:rPr>
                <w:rFonts w:ascii="Times New Roman" w:cs="Times New Roman"/>
                <w:color w:val="auto"/>
                <w:sz w:val="18"/>
                <w:szCs w:val="18"/>
              </w:rPr>
              <w:t>也应作为1</w:t>
            </w:r>
            <w:r>
              <w:rPr>
                <w:rFonts w:hint="eastAsia" w:ascii="Times New Roman" w:cs="Times New Roman"/>
                <w:color w:val="auto"/>
                <w:sz w:val="18"/>
                <w:szCs w:val="18"/>
              </w:rPr>
              <w:t>个</w:t>
            </w:r>
            <w:r>
              <w:rPr>
                <w:rFonts w:ascii="Times New Roman" w:cs="Times New Roman"/>
                <w:color w:val="auto"/>
                <w:sz w:val="18"/>
                <w:szCs w:val="18"/>
              </w:rPr>
              <w:t>检验批。随机抽取不少于</w:t>
            </w:r>
            <w:r>
              <w:rPr>
                <w:rFonts w:hint="eastAsia" w:ascii="Times New Roman" w:cs="Times New Roman"/>
                <w:color w:val="auto"/>
                <w:sz w:val="18"/>
                <w:szCs w:val="18"/>
              </w:rPr>
              <w:t>25kg。</w:t>
            </w:r>
          </w:p>
        </w:tc>
        <w:tc>
          <w:tcPr>
            <w:tcW w:w="228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拌合物</w:t>
            </w:r>
            <w:r>
              <w:rPr>
                <w:rFonts w:ascii="Times New Roman" w:cs="Times New Roman"/>
                <w:color w:val="auto"/>
                <w:sz w:val="18"/>
                <w:szCs w:val="18"/>
              </w:rPr>
              <w:t>凝结时间</w:t>
            </w:r>
            <w:r>
              <w:rPr>
                <w:rFonts w:hint="eastAsia" w:ascii="Times New Roman" w:cs="Times New Roman"/>
                <w:color w:val="auto"/>
                <w:sz w:val="18"/>
                <w:szCs w:val="18"/>
              </w:rPr>
              <w:t>、</w:t>
            </w:r>
            <w:r>
              <w:rPr>
                <w:rFonts w:ascii="Times New Roman" w:cs="Times New Roman"/>
                <w:color w:val="auto"/>
                <w:sz w:val="18"/>
                <w:szCs w:val="18"/>
              </w:rPr>
              <w:t>保水率</w:t>
            </w:r>
            <w:r>
              <w:rPr>
                <w:rFonts w:hint="eastAsia" w:ascii="Times New Roman" w:cs="Times New Roman"/>
                <w:color w:val="auto"/>
                <w:sz w:val="18"/>
                <w:szCs w:val="18"/>
              </w:rPr>
              <w:t>、</w:t>
            </w:r>
            <w:r>
              <w:rPr>
                <w:rFonts w:ascii="Times New Roman" w:cs="Times New Roman"/>
                <w:color w:val="auto"/>
                <w:sz w:val="18"/>
                <w:szCs w:val="18"/>
              </w:rPr>
              <w:t>稠度</w:t>
            </w:r>
            <w:r>
              <w:rPr>
                <w:rFonts w:hint="eastAsia" w:ascii="Times New Roman" w:cs="Times New Roman"/>
                <w:color w:val="auto"/>
                <w:sz w:val="18"/>
                <w:szCs w:val="18"/>
              </w:rPr>
              <w:t>、2</w:t>
            </w:r>
            <w:r>
              <w:rPr>
                <w:rFonts w:ascii="Times New Roman" w:cs="Times New Roman"/>
                <w:color w:val="auto"/>
                <w:sz w:val="18"/>
                <w:szCs w:val="18"/>
              </w:rPr>
              <w:t>h稠度损失</w:t>
            </w:r>
            <w:r>
              <w:rPr>
                <w:rFonts w:hint="eastAsia" w:ascii="Times New Roman" w:cs="Times New Roman"/>
                <w:color w:val="auto"/>
                <w:sz w:val="18"/>
                <w:szCs w:val="18"/>
              </w:rPr>
              <w:t>、1</w:t>
            </w:r>
            <w:r>
              <w:rPr>
                <w:rFonts w:ascii="Times New Roman" w:cs="Times New Roman"/>
                <w:color w:val="auto"/>
                <w:sz w:val="18"/>
                <w:szCs w:val="18"/>
              </w:rPr>
              <w:t>d</w:t>
            </w:r>
            <w:r>
              <w:rPr>
                <w:rFonts w:hint="eastAsia" w:ascii="Times New Roman" w:cs="Times New Roman"/>
                <w:color w:val="auto"/>
                <w:sz w:val="18"/>
                <w:szCs w:val="18"/>
              </w:rPr>
              <w:t>、3</w:t>
            </w:r>
            <w:r>
              <w:rPr>
                <w:rFonts w:ascii="Times New Roman" w:cs="Times New Roman"/>
                <w:color w:val="auto"/>
                <w:sz w:val="18"/>
                <w:szCs w:val="18"/>
              </w:rPr>
              <w:t>d</w:t>
            </w:r>
            <w:r>
              <w:rPr>
                <w:rFonts w:hint="eastAsia" w:ascii="Times New Roman" w:cs="Times New Roman"/>
                <w:color w:val="auto"/>
                <w:sz w:val="18"/>
                <w:szCs w:val="18"/>
              </w:rPr>
              <w:t>、28d抗压强度、氯离子含量</w:t>
            </w:r>
          </w:p>
        </w:tc>
        <w:tc>
          <w:tcPr>
            <w:tcW w:w="241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JGJ 355</w:t>
            </w:r>
            <w:r>
              <w:rPr>
                <w:rFonts w:hint="eastAsia" w:ascii="Times New Roman" w:cs="Times New Roman"/>
                <w:color w:val="auto"/>
                <w:sz w:val="18"/>
                <w:szCs w:val="18"/>
              </w:rPr>
              <w:t>、</w:t>
            </w:r>
            <w:r>
              <w:rPr>
                <w:rFonts w:ascii="Times New Roman" w:cs="Times New Roman"/>
                <w:color w:val="auto"/>
                <w:sz w:val="18"/>
                <w:szCs w:val="18"/>
              </w:rPr>
              <w:t>JGJ/T 70、GB/T 8077</w:t>
            </w:r>
            <w:r>
              <w:rPr>
                <w:rFonts w:hint="eastAsia" w:ascii="Times New Roman" w:cs="Times New Roman"/>
                <w:color w:val="auto"/>
                <w:sz w:val="18"/>
                <w:szCs w:val="18"/>
              </w:rPr>
              <w:t>、</w:t>
            </w:r>
            <w:r>
              <w:rPr>
                <w:rFonts w:ascii="Times New Roman" w:cs="Times New Roman"/>
                <w:color w:val="auto"/>
                <w:sz w:val="18"/>
                <w:szCs w:val="18"/>
              </w:rPr>
              <w:t>GB/T 17671</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进入施工现场后，使用前复检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8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4</w:t>
            </w:r>
          </w:p>
        </w:tc>
        <w:tc>
          <w:tcPr>
            <w:tcW w:w="716"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5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钢筋浆锚连接接头用灌浆料、座浆料</w:t>
            </w:r>
          </w:p>
        </w:tc>
        <w:tc>
          <w:tcPr>
            <w:tcW w:w="313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同配方、同批号原材料的产品应以50</w:t>
            </w:r>
            <w:r>
              <w:rPr>
                <w:rFonts w:hint="eastAsia" w:ascii="Times New Roman" w:cs="Times New Roman"/>
                <w:color w:val="auto"/>
                <w:sz w:val="18"/>
                <w:szCs w:val="18"/>
              </w:rPr>
              <w:t>t</w:t>
            </w:r>
            <w:r>
              <w:rPr>
                <w:rFonts w:ascii="Times New Roman" w:cs="Times New Roman"/>
                <w:color w:val="auto"/>
                <w:sz w:val="18"/>
                <w:szCs w:val="18"/>
              </w:rPr>
              <w:t>作为1</w:t>
            </w:r>
            <w:r>
              <w:rPr>
                <w:rFonts w:hint="eastAsia" w:ascii="Times New Roman" w:cs="Times New Roman"/>
                <w:color w:val="auto"/>
                <w:sz w:val="18"/>
                <w:szCs w:val="18"/>
              </w:rPr>
              <w:t>个</w:t>
            </w:r>
            <w:r>
              <w:rPr>
                <w:rFonts w:ascii="Times New Roman" w:cs="Times New Roman"/>
                <w:color w:val="auto"/>
                <w:sz w:val="18"/>
                <w:szCs w:val="18"/>
              </w:rPr>
              <w:t>检验批</w:t>
            </w:r>
            <w:r>
              <w:rPr>
                <w:rFonts w:hint="eastAsia" w:ascii="Times New Roman" w:cs="Times New Roman"/>
                <w:color w:val="auto"/>
                <w:sz w:val="18"/>
                <w:szCs w:val="18"/>
              </w:rPr>
              <w:t>，</w:t>
            </w:r>
            <w:r>
              <w:rPr>
                <w:rFonts w:ascii="Times New Roman" w:cs="Times New Roman"/>
                <w:color w:val="auto"/>
                <w:sz w:val="18"/>
                <w:szCs w:val="18"/>
              </w:rPr>
              <w:t>不足50</w:t>
            </w:r>
            <w:r>
              <w:rPr>
                <w:rFonts w:hint="eastAsia" w:ascii="Times New Roman" w:cs="Times New Roman"/>
                <w:color w:val="auto"/>
                <w:sz w:val="18"/>
                <w:szCs w:val="18"/>
              </w:rPr>
              <w:t>t</w:t>
            </w:r>
            <w:r>
              <w:rPr>
                <w:rFonts w:ascii="Times New Roman" w:cs="Times New Roman"/>
                <w:color w:val="auto"/>
                <w:sz w:val="18"/>
                <w:szCs w:val="18"/>
              </w:rPr>
              <w:t>也应作为1</w:t>
            </w:r>
            <w:r>
              <w:rPr>
                <w:rFonts w:hint="eastAsia" w:ascii="Times New Roman" w:cs="Times New Roman"/>
                <w:color w:val="auto"/>
                <w:sz w:val="18"/>
                <w:szCs w:val="18"/>
              </w:rPr>
              <w:t>个</w:t>
            </w:r>
            <w:r>
              <w:rPr>
                <w:rFonts w:ascii="Times New Roman" w:cs="Times New Roman"/>
                <w:color w:val="auto"/>
                <w:sz w:val="18"/>
                <w:szCs w:val="18"/>
              </w:rPr>
              <w:t>检验批。</w:t>
            </w:r>
          </w:p>
        </w:tc>
        <w:tc>
          <w:tcPr>
            <w:tcW w:w="228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泌水率、流动度比、竖向膨胀率、抗压强度、氯离子含量</w:t>
            </w:r>
          </w:p>
        </w:tc>
        <w:tc>
          <w:tcPr>
            <w:tcW w:w="241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GB/T 50448、GB/T 8077</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进入施工现场后，使用前复检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716"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5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建筑密封材料</w:t>
            </w:r>
          </w:p>
        </w:tc>
        <w:tc>
          <w:tcPr>
            <w:tcW w:w="313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JGJ 1、产品标准代表批量</w:t>
            </w:r>
          </w:p>
        </w:tc>
        <w:tc>
          <w:tcPr>
            <w:tcW w:w="228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流动性、相容性、粘结性</w:t>
            </w:r>
          </w:p>
        </w:tc>
        <w:tc>
          <w:tcPr>
            <w:tcW w:w="241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GB/T 14683、JC/T 482、JC/T 483、JC/T 881</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进入施工现场后，使用前复检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6</w:t>
            </w:r>
          </w:p>
        </w:tc>
        <w:tc>
          <w:tcPr>
            <w:tcW w:w="716"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5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灌浆套筒</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工艺性能检测</w:t>
            </w:r>
          </w:p>
        </w:tc>
        <w:tc>
          <w:tcPr>
            <w:tcW w:w="313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按本指南</w:t>
            </w:r>
            <w:r>
              <w:rPr>
                <w:rFonts w:hint="eastAsia" w:ascii="Times New Roman" w:cs="Times New Roman"/>
                <w:color w:val="auto"/>
                <w:sz w:val="18"/>
                <w:szCs w:val="18"/>
              </w:rPr>
              <w:t>5.3.1.2</w:t>
            </w:r>
            <w:r>
              <w:rPr>
                <w:rFonts w:ascii="Times New Roman" w:cs="Times New Roman"/>
                <w:color w:val="auto"/>
                <w:sz w:val="18"/>
                <w:szCs w:val="18"/>
              </w:rPr>
              <w:t>执行：施工过程中，当更换钢筋生产企业、或同生产企业生产的钢筋外形尺寸与已完成工艺检验的钢筋有较大差异时，应再次进行工艺检验；</w:t>
            </w:r>
          </w:p>
        </w:tc>
        <w:tc>
          <w:tcPr>
            <w:tcW w:w="228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极限抗拉强度、残余变形、灌浆料强度</w:t>
            </w:r>
          </w:p>
        </w:tc>
        <w:tc>
          <w:tcPr>
            <w:tcW w:w="241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JGJ 355</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进入施工现场后，使用前复检或者在工厂生产阶段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7</w:t>
            </w:r>
          </w:p>
        </w:tc>
        <w:tc>
          <w:tcPr>
            <w:tcW w:w="716"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5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灌浆料试块</w:t>
            </w:r>
          </w:p>
        </w:tc>
        <w:tc>
          <w:tcPr>
            <w:tcW w:w="313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制作时应采用40mm×40mm×160mm钢制标准试模，每作业班组应制作一组，每层不少于3组。</w:t>
            </w:r>
          </w:p>
        </w:tc>
        <w:tc>
          <w:tcPr>
            <w:tcW w:w="228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28d抗压强度</w:t>
            </w:r>
          </w:p>
        </w:tc>
        <w:tc>
          <w:tcPr>
            <w:tcW w:w="241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GB/T 17671</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进行标准件养护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8</w:t>
            </w:r>
          </w:p>
        </w:tc>
        <w:tc>
          <w:tcPr>
            <w:tcW w:w="716"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5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座浆料试块</w:t>
            </w:r>
          </w:p>
        </w:tc>
        <w:tc>
          <w:tcPr>
            <w:tcW w:w="313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以每层为一检验批；每检验批应制作1组三块边长为70.7mm的立方体试件</w:t>
            </w:r>
          </w:p>
        </w:tc>
        <w:tc>
          <w:tcPr>
            <w:tcW w:w="228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28d抗压强度</w:t>
            </w:r>
          </w:p>
        </w:tc>
        <w:tc>
          <w:tcPr>
            <w:tcW w:w="241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JGJ/T 70</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进行标准件养护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9</w:t>
            </w:r>
          </w:p>
        </w:tc>
        <w:tc>
          <w:tcPr>
            <w:tcW w:w="716"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5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灌浆套筒平行试件</w:t>
            </w:r>
          </w:p>
        </w:tc>
        <w:tc>
          <w:tcPr>
            <w:tcW w:w="313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同一批号、同一类型、同一规格的灌浆套筒，不超过1000个为一批，每批随机抽取3个灌浆套筒制作对中连接接头试件。</w:t>
            </w:r>
          </w:p>
        </w:tc>
        <w:tc>
          <w:tcPr>
            <w:tcW w:w="228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28d抗拉强度</w:t>
            </w:r>
          </w:p>
        </w:tc>
        <w:tc>
          <w:tcPr>
            <w:tcW w:w="241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JGJ 355</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进行标准养护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3" w:type="dxa"/>
            <w:vMerge w:val="restart"/>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10</w:t>
            </w:r>
          </w:p>
        </w:tc>
        <w:tc>
          <w:tcPr>
            <w:tcW w:w="2569" w:type="dxa"/>
            <w:gridSpan w:val="2"/>
            <w:vMerge w:val="restart"/>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其他材料</w:t>
            </w:r>
          </w:p>
        </w:tc>
        <w:tc>
          <w:tcPr>
            <w:tcW w:w="7822" w:type="dxa"/>
            <w:gridSpan w:val="3"/>
            <w:tcBorders>
              <w:tl2br w:val="nil"/>
              <w:tr2bl w:val="nil"/>
            </w:tcBorders>
            <w:vAlign w:val="center"/>
          </w:tcPr>
          <w:p>
            <w:pPr>
              <w:pStyle w:val="117"/>
              <w:kinsoku w:val="0"/>
              <w:overflowPunct w:val="0"/>
              <w:spacing w:line="300" w:lineRule="auto"/>
              <w:rPr>
                <w:rFonts w:ascii="Times New Roman" w:cs="Times New Roman"/>
                <w:color w:val="auto"/>
                <w:sz w:val="18"/>
                <w:szCs w:val="18"/>
              </w:rPr>
            </w:pPr>
            <w:r>
              <w:rPr>
                <w:rFonts w:hint="eastAsia" w:ascii="Times New Roman" w:cs="Times New Roman"/>
                <w:color w:val="auto"/>
                <w:sz w:val="18"/>
                <w:szCs w:val="18"/>
              </w:rPr>
              <w:t>后浇混凝土力学性能指标和耐久性要求等应符合国家现行有关标准的规定和设计要求；</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3"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2569" w:type="dxa"/>
            <w:gridSpan w:val="2"/>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7822" w:type="dxa"/>
            <w:gridSpan w:val="3"/>
            <w:tcBorders>
              <w:tl2br w:val="nil"/>
              <w:tr2bl w:val="nil"/>
            </w:tcBorders>
            <w:vAlign w:val="center"/>
          </w:tcPr>
          <w:p>
            <w:pPr>
              <w:pStyle w:val="117"/>
              <w:kinsoku w:val="0"/>
              <w:overflowPunct w:val="0"/>
              <w:spacing w:line="300" w:lineRule="auto"/>
              <w:rPr>
                <w:rFonts w:ascii="Times New Roman" w:cs="Times New Roman"/>
                <w:color w:val="auto"/>
                <w:sz w:val="18"/>
                <w:szCs w:val="18"/>
              </w:rPr>
            </w:pPr>
            <w:r>
              <w:rPr>
                <w:rFonts w:hint="eastAsia" w:ascii="Times New Roman" w:cs="Times New Roman"/>
                <w:color w:val="auto"/>
                <w:sz w:val="18"/>
                <w:szCs w:val="18"/>
              </w:rPr>
              <w:t>预制构件的预埋吊件的材料应符合国家现行有关标准的规定；</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3"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2569" w:type="dxa"/>
            <w:gridSpan w:val="2"/>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7822" w:type="dxa"/>
            <w:gridSpan w:val="3"/>
            <w:tcBorders>
              <w:tl2br w:val="nil"/>
              <w:tr2bl w:val="nil"/>
            </w:tcBorders>
            <w:vAlign w:val="center"/>
          </w:tcPr>
          <w:p>
            <w:pPr>
              <w:pStyle w:val="117"/>
              <w:kinsoku w:val="0"/>
              <w:overflowPunct w:val="0"/>
              <w:spacing w:line="300" w:lineRule="auto"/>
              <w:rPr>
                <w:rFonts w:ascii="Times New Roman" w:cs="Times New Roman"/>
                <w:color w:val="auto"/>
                <w:sz w:val="18"/>
                <w:szCs w:val="18"/>
              </w:rPr>
            </w:pPr>
            <w:r>
              <w:rPr>
                <w:rFonts w:hint="eastAsia" w:ascii="Times New Roman" w:cs="Times New Roman"/>
                <w:color w:val="auto"/>
                <w:sz w:val="18"/>
                <w:szCs w:val="18"/>
              </w:rPr>
              <w:t>外墙板接缝处的密封材料、保温材料及装饰装修材料应符合现行行业标准《装配式混凝土结构技术规程》JGJ 1等的规定。</w:t>
            </w:r>
          </w:p>
        </w:tc>
        <w:tc>
          <w:tcPr>
            <w:tcW w:w="214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r>
    </w:tbl>
    <w:p>
      <w:pPr>
        <w:pStyle w:val="77"/>
        <w:spacing w:line="300" w:lineRule="auto"/>
        <w:ind w:firstLine="0" w:firstLineChars="0"/>
        <w:rPr>
          <w:rFonts w:ascii="Times New Roman" w:hAnsi="Times New Roman"/>
          <w:color w:val="auto"/>
        </w:rPr>
      </w:pPr>
    </w:p>
    <w:p>
      <w:pPr>
        <w:pStyle w:val="77"/>
        <w:spacing w:line="300" w:lineRule="auto"/>
        <w:ind w:firstLine="0" w:firstLineChars="0"/>
        <w:rPr>
          <w:rFonts w:ascii="Times New Roman" w:hAnsi="Times New Roman"/>
          <w:color w:val="auto"/>
        </w:rPr>
        <w:sectPr>
          <w:pgSz w:w="16838" w:h="11906" w:orient="landscape"/>
          <w:pgMar w:top="1800" w:right="1440" w:bottom="1800" w:left="1440" w:header="851" w:footer="992" w:gutter="0"/>
          <w:cols w:space="425" w:num="1"/>
          <w:docGrid w:type="lines" w:linePitch="312" w:charSpace="0"/>
        </w:sectPr>
      </w:pPr>
    </w:p>
    <w:p>
      <w:pPr>
        <w:pStyle w:val="3"/>
        <w:numPr>
          <w:ilvl w:val="0"/>
          <w:numId w:val="0"/>
        </w:numPr>
        <w:spacing w:before="312" w:after="312"/>
        <w:ind w:left="432"/>
        <w:jc w:val="center"/>
        <w:rPr>
          <w:color w:val="auto"/>
        </w:rPr>
      </w:pPr>
      <w:bookmarkStart w:id="191" w:name="_Toc147952074"/>
      <w:r>
        <w:rPr>
          <w:color w:val="auto"/>
        </w:rPr>
        <w:t>附录C（资料性） 预制构件检验</w:t>
      </w:r>
      <w:bookmarkEnd w:id="191"/>
    </w:p>
    <w:p>
      <w:pPr>
        <w:pStyle w:val="77"/>
        <w:spacing w:after="156" w:afterLines="50" w:line="300" w:lineRule="auto"/>
        <w:ind w:firstLine="0" w:firstLineChars="0"/>
        <w:jc w:val="center"/>
        <w:rPr>
          <w:rFonts w:ascii="Times New Roman" w:hAnsi="Times New Roman"/>
          <w:color w:val="auto"/>
          <w:sz w:val="24"/>
          <w:szCs w:val="24"/>
        </w:rPr>
      </w:pPr>
      <w:r>
        <w:rPr>
          <w:rFonts w:ascii="Times New Roman" w:hAnsi="Times New Roman"/>
          <w:color w:val="auto"/>
          <w:sz w:val="24"/>
          <w:szCs w:val="24"/>
        </w:rPr>
        <w:t>表C-1预制构件检验一览表</w:t>
      </w:r>
    </w:p>
    <w:tbl>
      <w:tblPr>
        <w:tblStyle w:val="32"/>
        <w:tblW w:w="136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028"/>
        <w:gridCol w:w="1886"/>
        <w:gridCol w:w="2693"/>
        <w:gridCol w:w="3118"/>
        <w:gridCol w:w="1721"/>
        <w:gridCol w:w="21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22"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序号</w:t>
            </w:r>
          </w:p>
        </w:tc>
        <w:tc>
          <w:tcPr>
            <w:tcW w:w="2914" w:type="dxa"/>
            <w:gridSpan w:val="2"/>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名称</w:t>
            </w:r>
          </w:p>
        </w:tc>
        <w:tc>
          <w:tcPr>
            <w:tcW w:w="269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抽样频率</w:t>
            </w:r>
          </w:p>
        </w:tc>
        <w:tc>
          <w:tcPr>
            <w:tcW w:w="3118"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检测参数</w:t>
            </w:r>
          </w:p>
        </w:tc>
        <w:tc>
          <w:tcPr>
            <w:tcW w:w="172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检测方法</w:t>
            </w:r>
          </w:p>
        </w:tc>
        <w:tc>
          <w:tcPr>
            <w:tcW w:w="2140" w:type="dxa"/>
            <w:tcBorders>
              <w:tl2br w:val="nil"/>
              <w:tr2bl w:val="nil"/>
            </w:tcBorders>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22"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w:t>
            </w:r>
          </w:p>
        </w:tc>
        <w:tc>
          <w:tcPr>
            <w:tcW w:w="1028" w:type="dxa"/>
            <w:vMerge w:val="restart"/>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驻场</w:t>
            </w:r>
            <w:r>
              <w:rPr>
                <w:rFonts w:ascii="Times New Roman" w:cs="Times New Roman"/>
                <w:color w:val="auto"/>
                <w:sz w:val="18"/>
                <w:szCs w:val="18"/>
              </w:rPr>
              <w:t>监造材料（部品部件）复检</w:t>
            </w:r>
          </w:p>
        </w:tc>
        <w:tc>
          <w:tcPr>
            <w:tcW w:w="1886"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钢筋混凝土及其组成材料（钢筋、水泥、砂石、外加剂、外掺料等）</w:t>
            </w:r>
          </w:p>
        </w:tc>
        <w:tc>
          <w:tcPr>
            <w:tcW w:w="7532" w:type="dxa"/>
            <w:gridSpan w:val="3"/>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1.抽样数量、检测参数、方法同GB 50204中预制构件的要求；</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2.实施驻厂监造，委托第三方检测机构实施。</w:t>
            </w:r>
          </w:p>
          <w:p>
            <w:pPr>
              <w:pStyle w:val="117"/>
              <w:kinsoku w:val="0"/>
              <w:overflowPunct w:val="0"/>
              <w:spacing w:line="300" w:lineRule="auto"/>
              <w:rPr>
                <w:rFonts w:ascii="Times New Roman" w:cs="Times New Roman"/>
                <w:color w:val="auto"/>
                <w:sz w:val="18"/>
                <w:szCs w:val="18"/>
              </w:rPr>
            </w:pPr>
          </w:p>
        </w:tc>
        <w:tc>
          <w:tcPr>
            <w:tcW w:w="214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22"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2</w:t>
            </w:r>
          </w:p>
        </w:tc>
        <w:tc>
          <w:tcPr>
            <w:tcW w:w="1028"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86"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预制构件集成部品部件检测（保温板）</w:t>
            </w:r>
          </w:p>
        </w:tc>
        <w:tc>
          <w:tcPr>
            <w:tcW w:w="269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采用相同材料、工艺和施工做法的墙面，扣除门窗洞口后的保温墙面面积每1000m</w:t>
            </w:r>
            <w:r>
              <w:rPr>
                <w:rFonts w:hint="eastAsia" w:ascii="Times New Roman" w:cs="Times New Roman"/>
                <w:color w:val="auto"/>
                <w:sz w:val="18"/>
                <w:szCs w:val="18"/>
                <w:vertAlign w:val="superscript"/>
              </w:rPr>
              <w:t>2</w:t>
            </w:r>
            <w:r>
              <w:rPr>
                <w:rFonts w:ascii="Times New Roman" w:cs="Times New Roman"/>
                <w:color w:val="auto"/>
                <w:sz w:val="18"/>
                <w:szCs w:val="18"/>
              </w:rPr>
              <w:t>划分为一个检验批。</w:t>
            </w:r>
          </w:p>
        </w:tc>
        <w:tc>
          <w:tcPr>
            <w:tcW w:w="3118"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压缩强度或抗压强度、密度、导热系数或热阻、吸水率、燃烧性能</w:t>
            </w:r>
          </w:p>
        </w:tc>
        <w:tc>
          <w:tcPr>
            <w:tcW w:w="172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GB/T</w:t>
            </w:r>
            <w:r>
              <w:rPr>
                <w:rFonts w:hint="eastAsia" w:ascii="Times New Roman" w:cs="Times New Roman"/>
                <w:color w:val="auto"/>
                <w:sz w:val="18"/>
                <w:szCs w:val="18"/>
              </w:rPr>
              <w:t xml:space="preserve"> </w:t>
            </w:r>
            <w:r>
              <w:rPr>
                <w:rFonts w:ascii="Times New Roman" w:cs="Times New Roman"/>
                <w:color w:val="auto"/>
                <w:sz w:val="18"/>
                <w:szCs w:val="18"/>
              </w:rPr>
              <w:t>10801.2、GB</w:t>
            </w:r>
            <w:r>
              <w:rPr>
                <w:rFonts w:hint="eastAsia" w:ascii="Times New Roman" w:cs="Times New Roman"/>
                <w:color w:val="auto"/>
                <w:sz w:val="18"/>
                <w:szCs w:val="18"/>
              </w:rPr>
              <w:t xml:space="preserve"> </w:t>
            </w:r>
            <w:r>
              <w:rPr>
                <w:rFonts w:ascii="Times New Roman" w:cs="Times New Roman"/>
                <w:color w:val="auto"/>
                <w:sz w:val="18"/>
                <w:szCs w:val="18"/>
              </w:rPr>
              <w:t>8624等</w:t>
            </w:r>
          </w:p>
        </w:tc>
        <w:tc>
          <w:tcPr>
            <w:tcW w:w="214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实施驻厂监造，委托第三方检测机构实施。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22"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3</w:t>
            </w:r>
          </w:p>
        </w:tc>
        <w:tc>
          <w:tcPr>
            <w:tcW w:w="1028"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86"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预制构件集成部品部件检测（线管）</w:t>
            </w:r>
          </w:p>
        </w:tc>
        <w:tc>
          <w:tcPr>
            <w:tcW w:w="269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按照GB 50303抽样：同厂家、同批次、</w:t>
            </w:r>
            <w:r>
              <w:rPr>
                <w:rFonts w:ascii="Times New Roman" w:cs="Times New Roman"/>
                <w:color w:val="auto"/>
                <w:sz w:val="18"/>
                <w:szCs w:val="18"/>
              </w:rPr>
              <w:t>同种规格型号，同批号为一个检验批。</w:t>
            </w:r>
          </w:p>
        </w:tc>
        <w:tc>
          <w:tcPr>
            <w:tcW w:w="3118"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抗压性能、冲击性能、阻燃性能</w:t>
            </w:r>
          </w:p>
        </w:tc>
        <w:tc>
          <w:tcPr>
            <w:tcW w:w="172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JG/T 3050、GB</w:t>
            </w:r>
            <w:r>
              <w:rPr>
                <w:rFonts w:hint="eastAsia" w:ascii="Times New Roman" w:cs="Times New Roman"/>
                <w:color w:val="auto"/>
                <w:sz w:val="18"/>
                <w:szCs w:val="18"/>
              </w:rPr>
              <w:t>/</w:t>
            </w:r>
            <w:r>
              <w:rPr>
                <w:rFonts w:ascii="Times New Roman" w:cs="Times New Roman"/>
                <w:color w:val="auto"/>
                <w:sz w:val="18"/>
                <w:szCs w:val="18"/>
              </w:rPr>
              <w:t>T 20041.1</w:t>
            </w:r>
          </w:p>
        </w:tc>
        <w:tc>
          <w:tcPr>
            <w:tcW w:w="214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实施驻厂监造，委托第三方检测机构实施。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22"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4</w:t>
            </w:r>
          </w:p>
        </w:tc>
        <w:tc>
          <w:tcPr>
            <w:tcW w:w="1028"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86"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预制构件集成部品部件检测（窗）</w:t>
            </w:r>
          </w:p>
        </w:tc>
        <w:tc>
          <w:tcPr>
            <w:tcW w:w="269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同一厂家的同材质、类型和型号的门窗每200樘划分一个检验批</w:t>
            </w:r>
          </w:p>
        </w:tc>
        <w:tc>
          <w:tcPr>
            <w:tcW w:w="3118"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气密性、水密性、抗风压性能、保温性能、中空玻璃密封性能、玻璃遮阳系数、可见光透射比</w:t>
            </w:r>
          </w:p>
        </w:tc>
        <w:tc>
          <w:tcPr>
            <w:tcW w:w="172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GB/T 7106、GB/T</w:t>
            </w:r>
            <w:r>
              <w:rPr>
                <w:rFonts w:hint="eastAsia" w:ascii="Times New Roman" w:cs="Times New Roman"/>
                <w:color w:val="auto"/>
                <w:sz w:val="18"/>
                <w:szCs w:val="18"/>
              </w:rPr>
              <w:t xml:space="preserve"> </w:t>
            </w:r>
            <w:r>
              <w:rPr>
                <w:rFonts w:ascii="Times New Roman" w:cs="Times New Roman"/>
                <w:color w:val="auto"/>
                <w:sz w:val="18"/>
                <w:szCs w:val="18"/>
              </w:rPr>
              <w:t>8484、GB 50411、GB/T 2680</w:t>
            </w:r>
          </w:p>
        </w:tc>
        <w:tc>
          <w:tcPr>
            <w:tcW w:w="214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实施驻厂监造，委托第三方检测机构实施。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22"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5</w:t>
            </w:r>
          </w:p>
        </w:tc>
        <w:tc>
          <w:tcPr>
            <w:tcW w:w="1028" w:type="dxa"/>
            <w:vMerge w:val="restart"/>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进场前厂内检验</w:t>
            </w:r>
          </w:p>
        </w:tc>
        <w:tc>
          <w:tcPr>
            <w:tcW w:w="1886"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构件型式检验</w:t>
            </w:r>
          </w:p>
        </w:tc>
        <w:tc>
          <w:tcPr>
            <w:tcW w:w="269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每年不同混凝土强度、规格、材料、工艺的预制构件检测一次</w:t>
            </w:r>
          </w:p>
        </w:tc>
        <w:tc>
          <w:tcPr>
            <w:tcW w:w="3118"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a</w:t>
            </w:r>
            <w:r>
              <w:rPr>
                <w:rFonts w:hint="eastAsia" w:ascii="Times New Roman" w:cs="Times New Roman"/>
                <w:color w:val="auto"/>
                <w:sz w:val="18"/>
                <w:szCs w:val="18"/>
              </w:rPr>
              <w:t>）</w:t>
            </w:r>
            <w:r>
              <w:rPr>
                <w:rFonts w:ascii="Times New Roman" w:cs="Times New Roman"/>
                <w:color w:val="auto"/>
                <w:sz w:val="18"/>
                <w:szCs w:val="18"/>
              </w:rPr>
              <w:t>型式检验报告的内容应包括混凝土强度、外观质量、外形几何尺寸、耐久性能、耐火性能、钢筋保护层厚度等，涉及装配式构配件含装配式剪力墙、叠合板、预制楼梯、预制阳台、预制空调板等；</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b</w:t>
            </w:r>
            <w:r>
              <w:rPr>
                <w:rFonts w:hint="eastAsia" w:ascii="Times New Roman" w:cs="Times New Roman"/>
                <w:color w:val="auto"/>
                <w:sz w:val="18"/>
                <w:szCs w:val="18"/>
              </w:rPr>
              <w:t>）</w:t>
            </w:r>
            <w:r>
              <w:rPr>
                <w:rFonts w:ascii="Times New Roman" w:cs="Times New Roman"/>
                <w:color w:val="auto"/>
                <w:sz w:val="18"/>
                <w:szCs w:val="18"/>
              </w:rPr>
              <w:t>对涉及结构安全的构件应进行承载力等结构性能检验；</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c</w:t>
            </w:r>
            <w:r>
              <w:rPr>
                <w:rFonts w:hint="eastAsia" w:ascii="Times New Roman" w:cs="Times New Roman"/>
                <w:color w:val="auto"/>
                <w:sz w:val="18"/>
                <w:szCs w:val="18"/>
              </w:rPr>
              <w:t>）</w:t>
            </w:r>
            <w:r>
              <w:rPr>
                <w:rFonts w:ascii="Times New Roman" w:cs="Times New Roman"/>
                <w:color w:val="auto"/>
                <w:sz w:val="18"/>
                <w:szCs w:val="18"/>
              </w:rPr>
              <w:t>对外墙、屋面等有防水防渗要求的构件应进行抗渗性能检验；</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d</w:t>
            </w:r>
            <w:r>
              <w:rPr>
                <w:rFonts w:hint="eastAsia" w:ascii="Times New Roman" w:cs="Times New Roman"/>
                <w:color w:val="auto"/>
                <w:sz w:val="18"/>
                <w:szCs w:val="18"/>
              </w:rPr>
              <w:t>）</w:t>
            </w:r>
            <w:r>
              <w:rPr>
                <w:rFonts w:ascii="Times New Roman" w:cs="Times New Roman"/>
                <w:color w:val="auto"/>
                <w:sz w:val="18"/>
                <w:szCs w:val="18"/>
              </w:rPr>
              <w:t>对有保温隔热等要求的构件应进行保温隔热性能等检验。</w:t>
            </w:r>
          </w:p>
        </w:tc>
        <w:tc>
          <w:tcPr>
            <w:tcW w:w="172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GB/T 51231、JGJ 1、GB 50204</w:t>
            </w:r>
          </w:p>
        </w:tc>
        <w:tc>
          <w:tcPr>
            <w:tcW w:w="214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型式检验由生产厂家委托具有资质的单位完成，在报告有效期内针对所有施工项目具备效力。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22"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6</w:t>
            </w:r>
          </w:p>
        </w:tc>
        <w:tc>
          <w:tcPr>
            <w:tcW w:w="1028"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86"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构件出厂检验</w:t>
            </w:r>
          </w:p>
        </w:tc>
        <w:tc>
          <w:tcPr>
            <w:tcW w:w="269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检验批的划分应在合同约定的方案中明确，同一项目、同一生产厂家、同类型和同强度等级为一批次</w:t>
            </w:r>
          </w:p>
        </w:tc>
        <w:tc>
          <w:tcPr>
            <w:tcW w:w="3118"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混凝土强度、外观质量、外形尺寸、预埋件、钢筋位置安装偏差等检验</w:t>
            </w:r>
          </w:p>
        </w:tc>
        <w:tc>
          <w:tcPr>
            <w:tcW w:w="172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GB/T 51231、JGJ 1、GB 50204</w:t>
            </w:r>
          </w:p>
        </w:tc>
        <w:tc>
          <w:tcPr>
            <w:tcW w:w="214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hint="eastAsia" w:ascii="Times New Roman" w:cs="Times New Roman"/>
                <w:color w:val="auto"/>
                <w:sz w:val="18"/>
                <w:szCs w:val="18"/>
              </w:rPr>
              <w:t>预制构件出厂检验由生产厂家专职质检人员等组织实施。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22"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7</w:t>
            </w:r>
          </w:p>
        </w:tc>
        <w:tc>
          <w:tcPr>
            <w:tcW w:w="1028" w:type="dxa"/>
            <w:vMerge w:val="restart"/>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进场阶段</w:t>
            </w:r>
          </w:p>
        </w:tc>
        <w:tc>
          <w:tcPr>
            <w:tcW w:w="1886" w:type="dxa"/>
            <w:vMerge w:val="restart"/>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构件进场检验</w:t>
            </w:r>
          </w:p>
        </w:tc>
        <w:tc>
          <w:tcPr>
            <w:tcW w:w="269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a</w:t>
            </w:r>
            <w:r>
              <w:rPr>
                <w:rFonts w:hint="eastAsia" w:ascii="Times New Roman" w:cs="Times New Roman"/>
                <w:color w:val="auto"/>
                <w:sz w:val="18"/>
                <w:szCs w:val="18"/>
              </w:rPr>
              <w:t>）</w:t>
            </w:r>
            <w:r>
              <w:rPr>
                <w:rFonts w:ascii="Times New Roman" w:cs="Times New Roman"/>
                <w:color w:val="auto"/>
                <w:sz w:val="18"/>
                <w:szCs w:val="18"/>
              </w:rPr>
              <w:t>按照本指南</w:t>
            </w:r>
            <w:r>
              <w:rPr>
                <w:rFonts w:hint="eastAsia" w:ascii="Times New Roman" w:cs="Times New Roman"/>
                <w:color w:val="auto"/>
                <w:sz w:val="18"/>
                <w:szCs w:val="18"/>
              </w:rPr>
              <w:t>5.2.4.2执行；</w:t>
            </w:r>
          </w:p>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b</w:t>
            </w:r>
            <w:r>
              <w:rPr>
                <w:rFonts w:hint="eastAsia" w:ascii="Times New Roman" w:cs="Times New Roman"/>
                <w:color w:val="auto"/>
                <w:sz w:val="18"/>
                <w:szCs w:val="18"/>
              </w:rPr>
              <w:t>）</w:t>
            </w:r>
            <w:r>
              <w:rPr>
                <w:rFonts w:ascii="Times New Roman" w:cs="Times New Roman"/>
                <w:color w:val="auto"/>
                <w:sz w:val="18"/>
                <w:szCs w:val="18"/>
              </w:rPr>
              <w:t>需要进行结构性能检测的构件：同一类型预制构件不超过1000个为一批，每批随机抽取1个构件进行结构性能检验。</w:t>
            </w:r>
          </w:p>
        </w:tc>
        <w:tc>
          <w:tcPr>
            <w:tcW w:w="3118"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构件结构性能</w:t>
            </w:r>
          </w:p>
        </w:tc>
        <w:tc>
          <w:tcPr>
            <w:tcW w:w="172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GB/T 51231、GB 50204</w:t>
            </w:r>
          </w:p>
        </w:tc>
        <w:tc>
          <w:tcPr>
            <w:tcW w:w="214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22"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8</w:t>
            </w:r>
          </w:p>
        </w:tc>
        <w:tc>
          <w:tcPr>
            <w:tcW w:w="1028"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1886" w:type="dxa"/>
            <w:vMerge w:val="continue"/>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c>
          <w:tcPr>
            <w:tcW w:w="2693"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复验应以每 500m同类带饰面砖的预制构件为一个检验批，不足 500m应为一个检验批。每批应取一组 3 块板，每块板应制取1个试样对饰面砖粘结强度进行检验</w:t>
            </w:r>
          </w:p>
        </w:tc>
        <w:tc>
          <w:tcPr>
            <w:tcW w:w="3118"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预制构件表面预贴饰面砖、石材等饰面与混凝土的粘结性能</w:t>
            </w:r>
          </w:p>
        </w:tc>
        <w:tc>
          <w:tcPr>
            <w:tcW w:w="1721"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r>
              <w:rPr>
                <w:rFonts w:ascii="Times New Roman" w:cs="Times New Roman"/>
                <w:color w:val="auto"/>
                <w:sz w:val="18"/>
                <w:szCs w:val="18"/>
              </w:rPr>
              <w:t>JGJ/T 110及设计要求等。</w:t>
            </w:r>
          </w:p>
        </w:tc>
        <w:tc>
          <w:tcPr>
            <w:tcW w:w="2140" w:type="dxa"/>
            <w:tcBorders>
              <w:tl2br w:val="nil"/>
              <w:tr2bl w:val="nil"/>
            </w:tcBorders>
            <w:vAlign w:val="center"/>
          </w:tcPr>
          <w:p>
            <w:pPr>
              <w:pStyle w:val="117"/>
              <w:kinsoku w:val="0"/>
              <w:overflowPunct w:val="0"/>
              <w:spacing w:line="300" w:lineRule="auto"/>
              <w:jc w:val="center"/>
              <w:rPr>
                <w:rFonts w:ascii="Times New Roman" w:cs="Times New Roman"/>
                <w:color w:val="auto"/>
                <w:sz w:val="18"/>
                <w:szCs w:val="18"/>
              </w:rPr>
            </w:pPr>
          </w:p>
        </w:tc>
      </w:tr>
    </w:tbl>
    <w:p>
      <w:pPr>
        <w:pStyle w:val="77"/>
        <w:spacing w:line="300" w:lineRule="auto"/>
        <w:ind w:firstLine="0" w:firstLineChars="0"/>
        <w:rPr>
          <w:rFonts w:ascii="Times New Roman" w:hAnsi="Times New Roman"/>
          <w:color w:val="auto"/>
        </w:rPr>
        <w:sectPr>
          <w:pgSz w:w="16838" w:h="11906" w:orient="landscape"/>
          <w:pgMar w:top="1800" w:right="1440" w:bottom="1800" w:left="1440" w:header="851" w:footer="992" w:gutter="0"/>
          <w:cols w:space="425" w:num="1"/>
          <w:docGrid w:type="lines" w:linePitch="312" w:charSpace="0"/>
        </w:sectPr>
      </w:pPr>
    </w:p>
    <w:p>
      <w:pPr>
        <w:pStyle w:val="3"/>
        <w:numPr>
          <w:ilvl w:val="0"/>
          <w:numId w:val="0"/>
        </w:numPr>
        <w:spacing w:before="312" w:after="312"/>
        <w:ind w:left="432"/>
        <w:jc w:val="center"/>
        <w:rPr>
          <w:color w:val="auto"/>
        </w:rPr>
      </w:pPr>
      <w:bookmarkStart w:id="192" w:name="_Toc147952075"/>
      <w:r>
        <w:rPr>
          <w:color w:val="auto"/>
        </w:rPr>
        <w:t>附录D（资料性） 装配式混凝土结构连接节点现场检测</w:t>
      </w:r>
      <w:bookmarkEnd w:id="192"/>
    </w:p>
    <w:p>
      <w:pPr>
        <w:pStyle w:val="77"/>
        <w:spacing w:after="156" w:afterLines="50" w:line="300" w:lineRule="auto"/>
        <w:ind w:firstLine="0" w:firstLineChars="0"/>
        <w:jc w:val="center"/>
        <w:rPr>
          <w:rFonts w:ascii="Times New Roman" w:hAnsi="Times New Roman"/>
          <w:color w:val="auto"/>
          <w:sz w:val="24"/>
          <w:szCs w:val="24"/>
        </w:rPr>
      </w:pPr>
      <w:r>
        <w:rPr>
          <w:rFonts w:ascii="Times New Roman" w:hAnsi="Times New Roman"/>
          <w:color w:val="auto"/>
          <w:sz w:val="24"/>
          <w:szCs w:val="24"/>
        </w:rPr>
        <w:t>表D-1 装配式混凝土结构连接节点现场检测一览表</w:t>
      </w:r>
    </w:p>
    <w:tbl>
      <w:tblPr>
        <w:tblStyle w:val="32"/>
        <w:tblW w:w="136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921"/>
        <w:gridCol w:w="3778"/>
        <w:gridCol w:w="2281"/>
        <w:gridCol w:w="2411"/>
        <w:gridCol w:w="21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83"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序号</w:t>
            </w:r>
          </w:p>
        </w:tc>
        <w:tc>
          <w:tcPr>
            <w:tcW w:w="192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节点名称</w:t>
            </w:r>
          </w:p>
        </w:tc>
        <w:tc>
          <w:tcPr>
            <w:tcW w:w="3778"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抽样频率</w:t>
            </w:r>
          </w:p>
        </w:tc>
        <w:tc>
          <w:tcPr>
            <w:tcW w:w="228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检测参数</w:t>
            </w:r>
          </w:p>
        </w:tc>
        <w:tc>
          <w:tcPr>
            <w:tcW w:w="241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检测方法</w:t>
            </w:r>
          </w:p>
        </w:tc>
        <w:tc>
          <w:tcPr>
            <w:tcW w:w="214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83"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1</w:t>
            </w:r>
          </w:p>
        </w:tc>
        <w:tc>
          <w:tcPr>
            <w:tcW w:w="192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钢筋套筒灌浆连接、浆锚搭接连接及钢筋集中约束搭接连接</w:t>
            </w:r>
          </w:p>
        </w:tc>
        <w:tc>
          <w:tcPr>
            <w:tcW w:w="3778" w:type="dxa"/>
            <w:tcBorders>
              <w:tl2br w:val="nil"/>
              <w:tr2bl w:val="nil"/>
            </w:tcBorders>
            <w:vAlign w:val="center"/>
          </w:tcPr>
          <w:p>
            <w:pPr>
              <w:widowControl/>
              <w:spacing w:line="300" w:lineRule="auto"/>
              <w:jc w:val="left"/>
              <w:rPr>
                <w:rFonts w:cs="Times New Roman"/>
                <w:color w:val="auto"/>
                <w:kern w:val="0"/>
                <w:sz w:val="18"/>
                <w:szCs w:val="18"/>
              </w:rPr>
            </w:pPr>
            <w:r>
              <w:rPr>
                <w:rFonts w:cs="Times New Roman"/>
                <w:color w:val="auto"/>
                <w:kern w:val="0"/>
                <w:sz w:val="18"/>
                <w:szCs w:val="18"/>
              </w:rPr>
              <w:t>抽样检查，装配式剪力墙结构起始前2 层每个楼层抽检1 组（3 个）套筒，后续施工每5层抽检1组（3个）套筒。装配式框架结构首层抽检1组（3个）套筒，后续5层抽检1组（3个）套筒。</w:t>
            </w:r>
          </w:p>
        </w:tc>
        <w:tc>
          <w:tcPr>
            <w:tcW w:w="228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灌浆饱满度</w:t>
            </w:r>
          </w:p>
        </w:tc>
        <w:tc>
          <w:tcPr>
            <w:tcW w:w="2411" w:type="dxa"/>
            <w:tcBorders>
              <w:tl2br w:val="nil"/>
              <w:tr2bl w:val="nil"/>
            </w:tcBorders>
            <w:vAlign w:val="center"/>
          </w:tcPr>
          <w:p>
            <w:pPr>
              <w:spacing w:line="300" w:lineRule="auto"/>
              <w:jc w:val="center"/>
              <w:rPr>
                <w:rFonts w:cs="Times New Roman"/>
                <w:color w:val="auto"/>
                <w:kern w:val="0"/>
                <w:sz w:val="18"/>
                <w:szCs w:val="18"/>
              </w:rPr>
            </w:pPr>
            <w:r>
              <w:rPr>
                <w:rFonts w:cs="Times New Roman"/>
                <w:color w:val="auto"/>
                <w:kern w:val="0"/>
                <w:sz w:val="18"/>
                <w:szCs w:val="18"/>
              </w:rPr>
              <w:t>JGJ/T 485、T/CECS 1189</w:t>
            </w:r>
          </w:p>
        </w:tc>
        <w:tc>
          <w:tcPr>
            <w:tcW w:w="2141" w:type="dxa"/>
            <w:tcBorders>
              <w:tl2br w:val="nil"/>
              <w:tr2bl w:val="nil"/>
            </w:tcBorders>
          </w:tcPr>
          <w:p>
            <w:pPr>
              <w:widowControl/>
              <w:spacing w:line="300" w:lineRule="auto"/>
              <w:jc w:val="center"/>
              <w:rPr>
                <w:rFonts w:cs="Times New Roman"/>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83"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2</w:t>
            </w:r>
          </w:p>
        </w:tc>
        <w:tc>
          <w:tcPr>
            <w:tcW w:w="192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叠合剪力墙后浇混凝土</w:t>
            </w:r>
          </w:p>
        </w:tc>
        <w:tc>
          <w:tcPr>
            <w:tcW w:w="3778" w:type="dxa"/>
            <w:tcBorders>
              <w:tl2br w:val="nil"/>
              <w:tr2bl w:val="nil"/>
            </w:tcBorders>
            <w:vAlign w:val="center"/>
          </w:tcPr>
          <w:p>
            <w:pPr>
              <w:widowControl/>
              <w:spacing w:line="300" w:lineRule="auto"/>
              <w:jc w:val="left"/>
              <w:rPr>
                <w:rFonts w:cs="Times New Roman"/>
                <w:color w:val="auto"/>
                <w:kern w:val="0"/>
                <w:sz w:val="18"/>
                <w:szCs w:val="18"/>
              </w:rPr>
            </w:pPr>
            <w:r>
              <w:rPr>
                <w:rFonts w:cs="Times New Roman"/>
                <w:color w:val="auto"/>
                <w:kern w:val="0"/>
                <w:sz w:val="18"/>
                <w:szCs w:val="18"/>
              </w:rPr>
              <w:t>按照本指南</w:t>
            </w:r>
            <w:r>
              <w:rPr>
                <w:rFonts w:hint="eastAsia" w:cs="Times New Roman"/>
                <w:color w:val="auto"/>
                <w:kern w:val="0"/>
                <w:sz w:val="18"/>
                <w:szCs w:val="18"/>
              </w:rPr>
              <w:t>5.3.1.8</w:t>
            </w:r>
            <w:r>
              <w:rPr>
                <w:rFonts w:cs="Times New Roman"/>
                <w:color w:val="auto"/>
                <w:kern w:val="0"/>
                <w:sz w:val="18"/>
                <w:szCs w:val="18"/>
              </w:rPr>
              <w:t>进行</w:t>
            </w:r>
          </w:p>
        </w:tc>
        <w:tc>
          <w:tcPr>
            <w:tcW w:w="228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后浇混凝土质量</w:t>
            </w:r>
          </w:p>
        </w:tc>
        <w:tc>
          <w:tcPr>
            <w:tcW w:w="241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按照本指南</w:t>
            </w:r>
            <w:r>
              <w:rPr>
                <w:rFonts w:hint="eastAsia" w:cs="Times New Roman"/>
                <w:color w:val="auto"/>
                <w:kern w:val="0"/>
                <w:sz w:val="18"/>
                <w:szCs w:val="18"/>
              </w:rPr>
              <w:t>5.3.1.8执行</w:t>
            </w:r>
          </w:p>
        </w:tc>
        <w:tc>
          <w:tcPr>
            <w:tcW w:w="2141" w:type="dxa"/>
            <w:tcBorders>
              <w:tl2br w:val="nil"/>
              <w:tr2bl w:val="nil"/>
            </w:tcBorders>
          </w:tcPr>
          <w:p>
            <w:pPr>
              <w:widowControl/>
              <w:spacing w:line="300" w:lineRule="auto"/>
              <w:jc w:val="center"/>
              <w:rPr>
                <w:rFonts w:cs="Times New Roman"/>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83"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3</w:t>
            </w:r>
          </w:p>
        </w:tc>
        <w:tc>
          <w:tcPr>
            <w:tcW w:w="1921" w:type="dxa"/>
            <w:tcBorders>
              <w:tl2br w:val="nil"/>
              <w:tr2bl w:val="nil"/>
            </w:tcBorders>
            <w:vAlign w:val="center"/>
          </w:tcPr>
          <w:p>
            <w:pPr>
              <w:widowControl/>
              <w:spacing w:line="300" w:lineRule="auto"/>
              <w:jc w:val="center"/>
              <w:rPr>
                <w:rFonts w:cs="Times New Roman"/>
                <w:color w:val="auto"/>
                <w:kern w:val="0"/>
                <w:sz w:val="18"/>
                <w:szCs w:val="18"/>
              </w:rPr>
            </w:pPr>
            <w:r>
              <w:rPr>
                <w:rFonts w:hint="eastAsia" w:cs="Times New Roman"/>
                <w:color w:val="auto"/>
                <w:kern w:val="0"/>
                <w:sz w:val="18"/>
                <w:szCs w:val="18"/>
              </w:rPr>
              <w:t>剪力墙</w:t>
            </w:r>
            <w:r>
              <w:rPr>
                <w:rFonts w:cs="Times New Roman"/>
                <w:color w:val="auto"/>
                <w:kern w:val="0"/>
                <w:sz w:val="18"/>
                <w:szCs w:val="18"/>
              </w:rPr>
              <w:t>底部接缝</w:t>
            </w:r>
          </w:p>
        </w:tc>
        <w:tc>
          <w:tcPr>
            <w:tcW w:w="3778" w:type="dxa"/>
            <w:tcBorders>
              <w:tl2br w:val="nil"/>
              <w:tr2bl w:val="nil"/>
            </w:tcBorders>
            <w:vAlign w:val="center"/>
          </w:tcPr>
          <w:p>
            <w:pPr>
              <w:widowControl/>
              <w:spacing w:line="300" w:lineRule="auto"/>
              <w:jc w:val="left"/>
              <w:rPr>
                <w:rFonts w:cs="Times New Roman"/>
                <w:color w:val="auto"/>
                <w:kern w:val="0"/>
                <w:sz w:val="18"/>
                <w:szCs w:val="18"/>
              </w:rPr>
            </w:pPr>
            <w:r>
              <w:rPr>
                <w:rFonts w:cs="Times New Roman"/>
                <w:color w:val="auto"/>
                <w:kern w:val="0"/>
                <w:sz w:val="18"/>
                <w:szCs w:val="18"/>
              </w:rPr>
              <w:t>抽样检查，装配式剪力墙结构起始前2 层每个楼层抽检1 组（3 个）接缝，后续施工每5层抽检1组（3个）接缝。装配式框架结构首层抽检1组（3个）接缝，后续5层抽检1组（3个）接缝。</w:t>
            </w:r>
          </w:p>
        </w:tc>
        <w:tc>
          <w:tcPr>
            <w:tcW w:w="228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接缝质量</w:t>
            </w:r>
          </w:p>
        </w:tc>
        <w:tc>
          <w:tcPr>
            <w:tcW w:w="241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T/CECS 1189</w:t>
            </w:r>
          </w:p>
        </w:tc>
        <w:tc>
          <w:tcPr>
            <w:tcW w:w="2141" w:type="dxa"/>
            <w:tcBorders>
              <w:tl2br w:val="nil"/>
              <w:tr2bl w:val="nil"/>
            </w:tcBorders>
          </w:tcPr>
          <w:p>
            <w:pPr>
              <w:widowControl/>
              <w:spacing w:line="300" w:lineRule="auto"/>
              <w:jc w:val="center"/>
              <w:rPr>
                <w:rFonts w:cs="Times New Roman"/>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83"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4</w:t>
            </w:r>
          </w:p>
        </w:tc>
        <w:tc>
          <w:tcPr>
            <w:tcW w:w="192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叠合板结合面</w:t>
            </w:r>
          </w:p>
        </w:tc>
        <w:tc>
          <w:tcPr>
            <w:tcW w:w="3778" w:type="dxa"/>
            <w:tcBorders>
              <w:tl2br w:val="nil"/>
              <w:tr2bl w:val="nil"/>
            </w:tcBorders>
            <w:vAlign w:val="center"/>
          </w:tcPr>
          <w:p>
            <w:pPr>
              <w:widowControl/>
              <w:spacing w:line="300" w:lineRule="auto"/>
              <w:jc w:val="left"/>
              <w:rPr>
                <w:rFonts w:cs="Times New Roman"/>
                <w:color w:val="auto"/>
                <w:kern w:val="0"/>
                <w:sz w:val="18"/>
                <w:szCs w:val="18"/>
              </w:rPr>
            </w:pPr>
            <w:r>
              <w:rPr>
                <w:rFonts w:cs="Times New Roman"/>
                <w:color w:val="auto"/>
                <w:kern w:val="0"/>
                <w:sz w:val="18"/>
                <w:szCs w:val="18"/>
              </w:rPr>
              <w:t>检查数量：抽样检查，叠合板起始前2 层每个楼层抽检1 组（3 个）楼板，后续施工每5层抽检1组（3个）楼板。</w:t>
            </w:r>
          </w:p>
        </w:tc>
        <w:tc>
          <w:tcPr>
            <w:tcW w:w="228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结合面质量</w:t>
            </w:r>
          </w:p>
        </w:tc>
        <w:tc>
          <w:tcPr>
            <w:tcW w:w="241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 xml:space="preserve">JGJ/T 485 </w:t>
            </w:r>
          </w:p>
        </w:tc>
        <w:tc>
          <w:tcPr>
            <w:tcW w:w="2141" w:type="dxa"/>
            <w:tcBorders>
              <w:tl2br w:val="nil"/>
              <w:tr2bl w:val="nil"/>
            </w:tcBorders>
          </w:tcPr>
          <w:p>
            <w:pPr>
              <w:widowControl/>
              <w:spacing w:line="300" w:lineRule="auto"/>
              <w:jc w:val="center"/>
              <w:rPr>
                <w:rFonts w:cs="Times New Roman"/>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3"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5</w:t>
            </w:r>
          </w:p>
        </w:tc>
        <w:tc>
          <w:tcPr>
            <w:tcW w:w="192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外墙板接缝</w:t>
            </w:r>
          </w:p>
        </w:tc>
        <w:tc>
          <w:tcPr>
            <w:tcW w:w="3778"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按批检验。每1000m</w:t>
            </w:r>
            <w:r>
              <w:rPr>
                <w:rFonts w:cs="Times New Roman"/>
                <w:color w:val="auto"/>
                <w:kern w:val="0"/>
                <w:sz w:val="18"/>
                <w:szCs w:val="18"/>
                <w:vertAlign w:val="superscript"/>
              </w:rPr>
              <w:t>2</w:t>
            </w:r>
            <w:r>
              <w:rPr>
                <w:rFonts w:cs="Times New Roman"/>
                <w:color w:val="auto"/>
                <w:kern w:val="0"/>
                <w:sz w:val="18"/>
                <w:szCs w:val="18"/>
              </w:rPr>
              <w:t>外墙(含窗）面积应划分为一个检验批，不足1000m</w:t>
            </w:r>
            <w:r>
              <w:rPr>
                <w:rFonts w:cs="Times New Roman"/>
                <w:color w:val="auto"/>
                <w:kern w:val="0"/>
                <w:sz w:val="18"/>
                <w:szCs w:val="18"/>
                <w:vertAlign w:val="superscript"/>
              </w:rPr>
              <w:t>2</w:t>
            </w:r>
            <w:r>
              <w:rPr>
                <w:rFonts w:cs="Times New Roman"/>
                <w:color w:val="auto"/>
                <w:kern w:val="0"/>
                <w:sz w:val="18"/>
                <w:szCs w:val="18"/>
              </w:rPr>
              <w:t>时也应划分为一个检验批；每个检验批应至少抽查一处，抽查部位应为相邻两层4块墙板形成的水平和竖向十字接缝区域，面积不得少于10m</w:t>
            </w:r>
            <w:r>
              <w:rPr>
                <w:rFonts w:cs="Times New Roman"/>
                <w:color w:val="auto"/>
                <w:kern w:val="0"/>
                <w:sz w:val="18"/>
                <w:szCs w:val="18"/>
                <w:vertAlign w:val="superscript"/>
              </w:rPr>
              <w:t>2</w:t>
            </w:r>
            <w:r>
              <w:rPr>
                <w:rFonts w:cs="Times New Roman"/>
                <w:color w:val="auto"/>
                <w:kern w:val="0"/>
                <w:sz w:val="18"/>
                <w:szCs w:val="18"/>
              </w:rPr>
              <w:t>。</w:t>
            </w:r>
          </w:p>
        </w:tc>
        <w:tc>
          <w:tcPr>
            <w:tcW w:w="228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接缝防水性能</w:t>
            </w:r>
          </w:p>
        </w:tc>
        <w:tc>
          <w:tcPr>
            <w:tcW w:w="2411" w:type="dxa"/>
            <w:tcBorders>
              <w:tl2br w:val="nil"/>
              <w:tr2bl w:val="nil"/>
            </w:tcBorders>
            <w:vAlign w:val="center"/>
          </w:tcPr>
          <w:p>
            <w:pPr>
              <w:widowControl/>
              <w:spacing w:line="300" w:lineRule="auto"/>
              <w:jc w:val="center"/>
              <w:rPr>
                <w:rFonts w:cs="Times New Roman"/>
                <w:color w:val="auto"/>
                <w:kern w:val="0"/>
                <w:sz w:val="18"/>
                <w:szCs w:val="18"/>
              </w:rPr>
            </w:pPr>
            <w:r>
              <w:rPr>
                <w:rFonts w:cs="Times New Roman"/>
                <w:color w:val="auto"/>
                <w:kern w:val="0"/>
                <w:sz w:val="18"/>
                <w:szCs w:val="18"/>
              </w:rPr>
              <w:t>T/CECS 1189</w:t>
            </w:r>
          </w:p>
        </w:tc>
        <w:tc>
          <w:tcPr>
            <w:tcW w:w="2141" w:type="dxa"/>
            <w:tcBorders>
              <w:tl2br w:val="nil"/>
              <w:tr2bl w:val="nil"/>
            </w:tcBorders>
          </w:tcPr>
          <w:p>
            <w:pPr>
              <w:widowControl/>
              <w:spacing w:line="300" w:lineRule="auto"/>
              <w:jc w:val="center"/>
              <w:rPr>
                <w:rFonts w:cs="Times New Roman"/>
                <w:color w:val="auto"/>
                <w:kern w:val="0"/>
                <w:sz w:val="18"/>
                <w:szCs w:val="18"/>
              </w:rPr>
            </w:pPr>
          </w:p>
        </w:tc>
      </w:tr>
    </w:tbl>
    <w:p>
      <w:pPr>
        <w:spacing w:line="300" w:lineRule="auto"/>
        <w:ind w:firstLine="420" w:firstLineChars="200"/>
        <w:rPr>
          <w:rFonts w:cs="Times New Roman"/>
          <w:color w:val="auto"/>
        </w:rPr>
      </w:pPr>
    </w:p>
    <w:p>
      <w:pPr>
        <w:spacing w:line="300" w:lineRule="auto"/>
        <w:ind w:firstLine="420" w:firstLineChars="200"/>
        <w:rPr>
          <w:color w:val="auto"/>
        </w:rPr>
      </w:pPr>
    </w:p>
    <w:bookmarkEnd w:id="19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477120"/>
    </w:sdtPr>
    <w:sdtContent>
      <w:p>
        <w:pPr>
          <w:pStyle w:val="22"/>
          <w:spacing w:before="120" w:after="120"/>
          <w:jc w:val="center"/>
        </w:pPr>
        <w:r>
          <w:fldChar w:fldCharType="begin"/>
        </w:r>
        <w:r>
          <w:instrText xml:space="preserve">PAGE   \* MERGEFORMAT</w:instrText>
        </w:r>
        <w:r>
          <w:fldChar w:fldCharType="separate"/>
        </w:r>
        <w:r>
          <w:rPr>
            <w:lang w:val="zh-CN"/>
          </w:rPr>
          <w:t>I</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076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207645"/>
                      </a:xfrm>
                      <a:prstGeom prst="rect">
                        <a:avLst/>
                      </a:prstGeom>
                      <a:noFill/>
                      <a:ln w="6350">
                        <a:noFill/>
                      </a:ln>
                    </wps:spPr>
                    <wps:txbx>
                      <w:txbxContent>
                        <w:p>
                          <w:pPr>
                            <w:pStyle w:val="22"/>
                            <w:spacing w:before="120"/>
                            <w:jc w:val="center"/>
                          </w:pPr>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35pt;width:4.55pt;mso-position-horizontal:center;mso-position-horizontal-relative:margin;mso-wrap-style:none;z-index:251659264;mso-width-relative:page;mso-height-relative:page;" filled="f" stroked="f" coordsize="21600,21600" o:gfxdata="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SRQN0QAAAAIBAAAPAAAAAAAAAAEAIAAA&#10;ACIAAABkcnMvZG93bnJldi54bWxQSwECFAAUAAAACACHTuJAfW2iDhMCAAAEBAAADgAAAAAAAAAB&#10;ACAAAAAgAQAAZHJzL2Uyb0RvYy54bWxQSwUGAAAAAAYABgBZAQAApQUAAAAA&#10;">
              <v:fill on="f" focussize="0,0"/>
              <v:stroke on="f" weight="0.5pt"/>
              <v:imagedata o:title=""/>
              <o:lock v:ext="edit" aspectratio="f"/>
              <v:textbox inset="0mm,0mm,0mm,0mm" style="mso-fit-shape-to-text:t;">
                <w:txbxContent>
                  <w:p>
                    <w:pPr>
                      <w:pStyle w:val="22"/>
                      <w:spacing w:before="120"/>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2233DB"/>
    <w:multiLevelType w:val="multilevel"/>
    <w:tmpl w:val="EC2233DB"/>
    <w:lvl w:ilvl="0" w:tentative="0">
      <w:start w:val="1"/>
      <w:numFmt w:val="decimal"/>
      <w:pStyle w:val="103"/>
      <w:lvlText w:val="%1"/>
      <w:lvlJc w:val="left"/>
      <w:pPr>
        <w:ind w:left="432" w:hanging="432"/>
      </w:pPr>
      <w:rPr>
        <w:rFonts w:hint="default" w:ascii="Times New Roman" w:hAnsi="Times New Roman" w:eastAsia="宋体" w:cs="宋体"/>
        <w:sz w:val="21"/>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419"/>
    <w:multiLevelType w:val="multilevel"/>
    <w:tmpl w:val="00000419"/>
    <w:lvl w:ilvl="0" w:tentative="0">
      <w:start w:val="1"/>
      <w:numFmt w:val="decimal"/>
      <w:lvlText w:val="（%1）"/>
      <w:lvlJc w:val="left"/>
      <w:pPr>
        <w:ind w:left="435" w:hanging="376"/>
      </w:pPr>
      <w:rPr>
        <w:rFonts w:ascii="宋体" w:hAnsi="Times New Roman" w:cs="宋体"/>
        <w:b w:val="0"/>
        <w:bCs w:val="0"/>
        <w:spacing w:val="-1"/>
        <w:w w:val="99"/>
        <w:sz w:val="13"/>
        <w:szCs w:val="13"/>
      </w:rPr>
    </w:lvl>
    <w:lvl w:ilvl="1" w:tentative="0">
      <w:start w:val="0"/>
      <w:numFmt w:val="bullet"/>
      <w:lvlText w:val="•"/>
      <w:lvlJc w:val="left"/>
      <w:pPr>
        <w:ind w:left="920" w:hanging="376"/>
      </w:pPr>
    </w:lvl>
    <w:lvl w:ilvl="2" w:tentative="0">
      <w:start w:val="0"/>
      <w:numFmt w:val="bullet"/>
      <w:lvlText w:val="•"/>
      <w:lvlJc w:val="left"/>
      <w:pPr>
        <w:ind w:left="1400" w:hanging="376"/>
      </w:pPr>
    </w:lvl>
    <w:lvl w:ilvl="3" w:tentative="0">
      <w:start w:val="0"/>
      <w:numFmt w:val="bullet"/>
      <w:lvlText w:val="•"/>
      <w:lvlJc w:val="left"/>
      <w:pPr>
        <w:ind w:left="1880" w:hanging="376"/>
      </w:pPr>
    </w:lvl>
    <w:lvl w:ilvl="4" w:tentative="0">
      <w:start w:val="0"/>
      <w:numFmt w:val="bullet"/>
      <w:lvlText w:val="•"/>
      <w:lvlJc w:val="left"/>
      <w:pPr>
        <w:ind w:left="2360" w:hanging="376"/>
      </w:pPr>
    </w:lvl>
    <w:lvl w:ilvl="5" w:tentative="0">
      <w:start w:val="0"/>
      <w:numFmt w:val="bullet"/>
      <w:lvlText w:val="•"/>
      <w:lvlJc w:val="left"/>
      <w:pPr>
        <w:ind w:left="2840" w:hanging="376"/>
      </w:pPr>
    </w:lvl>
    <w:lvl w:ilvl="6" w:tentative="0">
      <w:start w:val="0"/>
      <w:numFmt w:val="bullet"/>
      <w:lvlText w:val="•"/>
      <w:lvlJc w:val="left"/>
      <w:pPr>
        <w:ind w:left="3320" w:hanging="376"/>
      </w:pPr>
    </w:lvl>
    <w:lvl w:ilvl="7" w:tentative="0">
      <w:start w:val="0"/>
      <w:numFmt w:val="bullet"/>
      <w:lvlText w:val="•"/>
      <w:lvlJc w:val="left"/>
      <w:pPr>
        <w:ind w:left="3800" w:hanging="376"/>
      </w:pPr>
    </w:lvl>
    <w:lvl w:ilvl="8" w:tentative="0">
      <w:start w:val="0"/>
      <w:numFmt w:val="bullet"/>
      <w:lvlText w:val="•"/>
      <w:lvlJc w:val="left"/>
      <w:pPr>
        <w:ind w:left="4280" w:hanging="376"/>
      </w:pPr>
    </w:lvl>
  </w:abstractNum>
  <w:abstractNum w:abstractNumId="2">
    <w:nsid w:val="07ED3FEA"/>
    <w:multiLevelType w:val="multilevel"/>
    <w:tmpl w:val="07ED3FEA"/>
    <w:lvl w:ilvl="0" w:tentative="0">
      <w:start w:val="1"/>
      <w:numFmt w:val="none"/>
      <w:pStyle w:val="76"/>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C2222E9"/>
    <w:multiLevelType w:val="multilevel"/>
    <w:tmpl w:val="0C2222E9"/>
    <w:lvl w:ilvl="0" w:tentative="0">
      <w:start w:val="2"/>
      <w:numFmt w:val="decimal"/>
      <w:pStyle w:val="66"/>
      <w:suff w:val="space"/>
      <w:lvlText w:val="%1"/>
      <w:lvlJc w:val="left"/>
      <w:pPr>
        <w:ind w:left="0" w:firstLine="0"/>
      </w:pPr>
      <w:rPr>
        <w:rFonts w:hint="default" w:ascii="Times New Roman" w:hAnsi="Times New Roman" w:eastAsia="宋体" w:cs="宋体"/>
        <w:b/>
        <w:i w:val="0"/>
        <w:caps w:val="0"/>
        <w:strike w:val="0"/>
        <w:dstrike w:val="0"/>
        <w:vanish w:val="0"/>
        <w:sz w:val="28"/>
        <w:vertAlign w:val="baseline"/>
      </w:rPr>
    </w:lvl>
    <w:lvl w:ilvl="1" w:tentative="0">
      <w:start w:val="1"/>
      <w:numFmt w:val="decimal"/>
      <w:pStyle w:val="63"/>
      <w:suff w:val="space"/>
      <w:lvlText w:val="%1.%2"/>
      <w:lvlJc w:val="left"/>
      <w:pPr>
        <w:ind w:left="0" w:firstLine="0"/>
      </w:pPr>
      <w:rPr>
        <w:rFonts w:hint="default" w:ascii="Times New Roman" w:hAnsi="Times New Roman" w:eastAsia="宋体" w:cs="宋体"/>
        <w:b/>
        <w:i w:val="0"/>
        <w:caps w:val="0"/>
        <w:strike w:val="0"/>
        <w:dstrike w:val="0"/>
        <w:vanish w:val="0"/>
        <w:sz w:val="21"/>
        <w:szCs w:val="21"/>
        <w:vertAlign w:val="baseline"/>
      </w:rPr>
    </w:lvl>
    <w:lvl w:ilvl="2" w:tentative="0">
      <w:start w:val="1"/>
      <w:numFmt w:val="decimal"/>
      <w:suff w:val="space"/>
      <w:lvlText w:val="%1.%2.%3"/>
      <w:lvlJc w:val="left"/>
      <w:pPr>
        <w:ind w:left="0" w:firstLine="0"/>
      </w:pPr>
      <w:rPr>
        <w:rFonts w:hint="default" w:ascii="Times New Roman" w:hAnsi="Times New Roman" w:eastAsia="宋体" w:cs="宋体"/>
        <w:b/>
        <w:bCs w:val="0"/>
        <w:i w:val="0"/>
        <w:iCs w:val="0"/>
        <w:caps w:val="0"/>
        <w:smallCaps w:val="0"/>
        <w:strike w:val="0"/>
        <w:dstrike w:val="0"/>
        <w:vanish w:val="0"/>
        <w:spacing w:val="0"/>
        <w:position w:val="0"/>
        <w:sz w:val="21"/>
        <w:szCs w:val="21"/>
        <w:u w:val="none"/>
        <w:vertAlign w:val="baseline"/>
      </w:rPr>
    </w:lvl>
    <w:lvl w:ilvl="3" w:tentative="0">
      <w:start w:val="1"/>
      <w:numFmt w:val="decimal"/>
      <w:suff w:val="space"/>
      <w:lvlText w:val="%4"/>
      <w:lvlJc w:val="left"/>
      <w:pPr>
        <w:ind w:left="0" w:firstLine="482"/>
      </w:pPr>
      <w:rPr>
        <w:rFonts w:hint="default" w:ascii="Times New Roman" w:hAnsi="Times New Roman" w:eastAsia="宋体" w:cs="宋体"/>
        <w:b/>
        <w:bCs w:val="0"/>
        <w:i w:val="0"/>
        <w:iCs w:val="0"/>
        <w:caps w:val="0"/>
        <w:smallCaps w:val="0"/>
        <w:strike w:val="0"/>
        <w:dstrike w:val="0"/>
        <w:vanish w:val="0"/>
        <w:spacing w:val="0"/>
        <w:position w:val="0"/>
        <w:sz w:val="21"/>
        <w:szCs w:val="21"/>
        <w:u w:val="none"/>
        <w:vertAlign w:val="baseline"/>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4">
    <w:nsid w:val="0FF43848"/>
    <w:multiLevelType w:val="multilevel"/>
    <w:tmpl w:val="0FF43848"/>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C5917C3"/>
    <w:multiLevelType w:val="multilevel"/>
    <w:tmpl w:val="2C5917C3"/>
    <w:lvl w:ilvl="0" w:tentative="0">
      <w:start w:val="1"/>
      <w:numFmt w:val="none"/>
      <w:pStyle w:val="86"/>
      <w:lvlText w:val="%1——"/>
      <w:lvlJc w:val="left"/>
      <w:pPr>
        <w:tabs>
          <w:tab w:val="left" w:pos="1135"/>
        </w:tabs>
        <w:ind w:left="1135" w:hanging="426"/>
      </w:pPr>
      <w:rPr>
        <w:rFonts w:hint="default" w:ascii="Times New Roman" w:hAnsi="Times New Roman" w:eastAsia="宋体" w:cs="Times New Roman"/>
        <w:b w:val="0"/>
        <w:i w:val="0"/>
        <w:sz w:val="21"/>
      </w:rPr>
    </w:lvl>
    <w:lvl w:ilvl="1" w:tentative="0">
      <w:start w:val="1"/>
      <w:numFmt w:val="none"/>
      <w:pStyle w:val="87"/>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48802D1C"/>
    <w:multiLevelType w:val="multilevel"/>
    <w:tmpl w:val="48802D1C"/>
    <w:lvl w:ilvl="0" w:tentative="0">
      <w:start w:val="1"/>
      <w:numFmt w:val="upperLetter"/>
      <w:pStyle w:val="92"/>
      <w:lvlText w:val="%1"/>
      <w:lvlJc w:val="left"/>
      <w:pPr>
        <w:ind w:left="420" w:hanging="420"/>
      </w:pPr>
      <w:rPr>
        <w:rFonts w:hint="eastAsia"/>
      </w:rPr>
    </w:lvl>
    <w:lvl w:ilvl="1" w:tentative="0">
      <w:start w:val="1"/>
      <w:numFmt w:val="decimal"/>
      <w:pStyle w:val="9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53BF1E96"/>
    <w:multiLevelType w:val="multilevel"/>
    <w:tmpl w:val="53BF1E9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603797C"/>
    <w:multiLevelType w:val="multilevel"/>
    <w:tmpl w:val="5603797C"/>
    <w:lvl w:ilvl="0" w:tentative="0">
      <w:start w:val="1"/>
      <w:numFmt w:val="upperLetter"/>
      <w:pStyle w:val="93"/>
      <w:suff w:val="space"/>
      <w:lvlText w:val="%1"/>
      <w:lvlJc w:val="left"/>
      <w:pPr>
        <w:ind w:left="425" w:hanging="425"/>
      </w:pPr>
      <w:rPr>
        <w:rFonts w:hint="eastAsia"/>
      </w:rPr>
    </w:lvl>
    <w:lvl w:ilvl="1" w:tentative="0">
      <w:start w:val="1"/>
      <w:numFmt w:val="decimal"/>
      <w:suff w:val="space"/>
      <w:lvlText w:val="表%1.%2"/>
      <w:lvlJc w:val="center"/>
      <w:pPr>
        <w:ind w:left="241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68BE1AF"/>
    <w:multiLevelType w:val="multilevel"/>
    <w:tmpl w:val="568BE1AF"/>
    <w:lvl w:ilvl="0" w:tentative="0">
      <w:start w:val="1"/>
      <w:numFmt w:val="decimal"/>
      <w:pStyle w:val="104"/>
      <w:lvlText w:val="%1"/>
      <w:lvlJc w:val="left"/>
      <w:pPr>
        <w:ind w:left="432" w:hanging="432"/>
      </w:pPr>
      <w:rPr>
        <w:rFonts w:hint="default" w:ascii="宋体" w:hAnsi="宋体" w:eastAsia="宋体" w:cs="宋体"/>
        <w:sz w:val="21"/>
      </w:rPr>
    </w:lvl>
    <w:lvl w:ilvl="1" w:tentative="0">
      <w:start w:val="1"/>
      <w:numFmt w:val="decimal"/>
      <w:lvlText w:val="%1.%2"/>
      <w:lvlJc w:val="left"/>
      <w:pPr>
        <w:ind w:left="575" w:hanging="575"/>
      </w:pPr>
      <w:rPr>
        <w:rFonts w:hint="default" w:ascii="Times New Roman" w:hAnsi="Times New Roman" w:eastAsia="黑体" w:cs="宋体"/>
        <w:sz w:val="21"/>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1431"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0">
    <w:nsid w:val="6320ACFD"/>
    <w:multiLevelType w:val="multilevel"/>
    <w:tmpl w:val="6320ACFD"/>
    <w:lvl w:ilvl="0" w:tentative="0">
      <w:start w:val="1"/>
      <w:numFmt w:val="upperLetter"/>
      <w:pStyle w:val="94"/>
      <w:suff w:val="nothing"/>
      <w:lvlText w:val="附录%1"/>
      <w:lvlJc w:val="left"/>
      <w:pPr>
        <w:tabs>
          <w:tab w:val="left" w:pos="-784"/>
        </w:tabs>
        <w:ind w:left="710" w:firstLine="0"/>
      </w:pPr>
      <w:rPr>
        <w:rFonts w:hint="default" w:eastAsia="黑体"/>
        <w:spacing w:val="102"/>
        <w:sz w:val="21"/>
      </w:rPr>
    </w:lvl>
    <w:lvl w:ilvl="1" w:tentative="0">
      <w:start w:val="1"/>
      <w:numFmt w:val="decimal"/>
      <w:pStyle w:val="96"/>
      <w:lvlText w:val="%1.%2"/>
      <w:lvlJc w:val="left"/>
      <w:pPr>
        <w:tabs>
          <w:tab w:val="left" w:pos="420"/>
        </w:tabs>
        <w:ind w:left="1494" w:firstLine="0"/>
      </w:pPr>
      <w:rPr>
        <w:rFonts w:hint="default" w:ascii="Times New Roman" w:hAnsi="Times New Roman" w:eastAsia="宋体" w:cs="宋体"/>
        <w:b w:val="0"/>
        <w:i w:val="0"/>
        <w:sz w:val="21"/>
      </w:rPr>
    </w:lvl>
    <w:lvl w:ilvl="2" w:tentative="0">
      <w:start w:val="1"/>
      <w:numFmt w:val="decimal"/>
      <w:pStyle w:val="97"/>
      <w:lvlText w:val="%1.%2.%3"/>
      <w:lvlJc w:val="left"/>
      <w:pPr>
        <w:tabs>
          <w:tab w:val="left" w:pos="420"/>
        </w:tabs>
        <w:ind w:left="1494" w:firstLine="0"/>
      </w:pPr>
      <w:rPr>
        <w:rFonts w:hint="default" w:ascii="Times New Roman" w:hAnsi="Times New Roman" w:eastAsia="宋体" w:cs="宋体"/>
        <w:b w:val="0"/>
        <w:i w:val="0"/>
        <w:sz w:val="21"/>
      </w:rPr>
    </w:lvl>
    <w:lvl w:ilvl="3" w:tentative="0">
      <w:start w:val="1"/>
      <w:numFmt w:val="decimal"/>
      <w:suff w:val="nothing"/>
      <w:lvlText w:val="%1.%2.%3.%4　"/>
      <w:lvlJc w:val="left"/>
      <w:pPr>
        <w:ind w:left="1494" w:firstLine="0"/>
      </w:pPr>
      <w:rPr>
        <w:rFonts w:hint="eastAsia" w:ascii="黑体" w:eastAsia="黑体"/>
        <w:b w:val="0"/>
        <w:i w:val="0"/>
        <w:sz w:val="21"/>
      </w:rPr>
    </w:lvl>
    <w:lvl w:ilvl="4" w:tentative="0">
      <w:start w:val="1"/>
      <w:numFmt w:val="decimal"/>
      <w:suff w:val="nothing"/>
      <w:lvlText w:val="%1.%2.%3.%4.%5　"/>
      <w:lvlJc w:val="left"/>
      <w:pPr>
        <w:ind w:left="1494" w:firstLine="0"/>
      </w:pPr>
      <w:rPr>
        <w:rFonts w:hint="eastAsia" w:ascii="黑体" w:eastAsia="黑体"/>
        <w:b w:val="0"/>
        <w:i w:val="0"/>
        <w:sz w:val="21"/>
      </w:rPr>
    </w:lvl>
    <w:lvl w:ilvl="5" w:tentative="0">
      <w:start w:val="1"/>
      <w:numFmt w:val="decimal"/>
      <w:suff w:val="nothing"/>
      <w:lvlText w:val="%1.%2.%3.%4.%5.%6　"/>
      <w:lvlJc w:val="left"/>
      <w:pPr>
        <w:ind w:left="1494" w:firstLine="0"/>
      </w:pPr>
      <w:rPr>
        <w:rFonts w:hint="eastAsia" w:ascii="黑体" w:eastAsia="黑体"/>
        <w:b w:val="0"/>
        <w:i w:val="0"/>
        <w:sz w:val="21"/>
      </w:rPr>
    </w:lvl>
    <w:lvl w:ilvl="6" w:tentative="0">
      <w:start w:val="1"/>
      <w:numFmt w:val="decimal"/>
      <w:suff w:val="nothing"/>
      <w:lvlText w:val="%1.%2.%3.%4.%5.%6.%7　"/>
      <w:lvlJc w:val="left"/>
      <w:pPr>
        <w:ind w:left="1494" w:firstLine="0"/>
      </w:pPr>
      <w:rPr>
        <w:rFonts w:hint="eastAsia"/>
      </w:rPr>
    </w:lvl>
    <w:lvl w:ilvl="7" w:tentative="0">
      <w:start w:val="1"/>
      <w:numFmt w:val="decimal"/>
      <w:lvlText w:val="%1.%2.%3.%4.%5.%6.%7.%8"/>
      <w:lvlJc w:val="left"/>
      <w:pPr>
        <w:tabs>
          <w:tab w:val="left" w:pos="4394"/>
        </w:tabs>
        <w:ind w:left="5888" w:hanging="1418"/>
      </w:pPr>
      <w:rPr>
        <w:rFonts w:hint="eastAsia"/>
      </w:rPr>
    </w:lvl>
    <w:lvl w:ilvl="8" w:tentative="0">
      <w:start w:val="1"/>
      <w:numFmt w:val="decimal"/>
      <w:lvlText w:val="%1.%2.%3.%4.%5.%6.%7.%8.%9"/>
      <w:lvlJc w:val="left"/>
      <w:pPr>
        <w:tabs>
          <w:tab w:val="left" w:pos="5102"/>
        </w:tabs>
        <w:ind w:left="6596" w:hanging="1700"/>
      </w:pPr>
      <w:rPr>
        <w:rFonts w:hint="eastAsia"/>
      </w:rPr>
    </w:lvl>
  </w:abstractNum>
  <w:abstractNum w:abstractNumId="11">
    <w:nsid w:val="638365FE"/>
    <w:multiLevelType w:val="multilevel"/>
    <w:tmpl w:val="638365FE"/>
    <w:lvl w:ilvl="0" w:tentative="0">
      <w:start w:val="1"/>
      <w:numFmt w:val="lowerLetter"/>
      <w:lvlText w:val="%1)"/>
      <w:lvlJc w:val="left"/>
      <w:pPr>
        <w:ind w:left="420" w:hanging="420"/>
      </w:pPr>
    </w:lvl>
    <w:lvl w:ilvl="1" w:tentative="0">
      <w:start w:val="1"/>
      <w:numFmt w:val="lowerLetter"/>
      <w:pStyle w:val="75"/>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46260FA"/>
    <w:multiLevelType w:val="multilevel"/>
    <w:tmpl w:val="646260FA"/>
    <w:lvl w:ilvl="0" w:tentative="0">
      <w:start w:val="1"/>
      <w:numFmt w:val="decimal"/>
      <w:pStyle w:val="8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655182FD"/>
    <w:multiLevelType w:val="multilevel"/>
    <w:tmpl w:val="655182FD"/>
    <w:lvl w:ilvl="0" w:tentative="0">
      <w:start w:val="1"/>
      <w:numFmt w:val="decimal"/>
      <w:pStyle w:val="3"/>
      <w:lvlText w:val="%1"/>
      <w:lvlJc w:val="left"/>
      <w:pPr>
        <w:ind w:left="432" w:hanging="432"/>
      </w:pPr>
      <w:rPr>
        <w:rFonts w:hint="eastAsia"/>
      </w:rPr>
    </w:lvl>
    <w:lvl w:ilvl="1" w:tentative="0">
      <w:start w:val="1"/>
      <w:numFmt w:val="decimal"/>
      <w:pStyle w:val="4"/>
      <w:lvlText w:val="%1.%2"/>
      <w:lvlJc w:val="left"/>
      <w:pPr>
        <w:ind w:left="576" w:hanging="576"/>
      </w:pPr>
      <w:rPr>
        <w:rFonts w:hint="eastAsia"/>
      </w:rPr>
    </w:lvl>
    <w:lvl w:ilvl="2" w:tentative="0">
      <w:start w:val="1"/>
      <w:numFmt w:val="decimal"/>
      <w:pStyle w:val="5"/>
      <w:lvlText w:val="%1.%2.%3"/>
      <w:lvlJc w:val="left"/>
      <w:pPr>
        <w:ind w:left="862"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4">
    <w:nsid w:val="6CEA2025"/>
    <w:multiLevelType w:val="multilevel"/>
    <w:tmpl w:val="6CEA2025"/>
    <w:lvl w:ilvl="0" w:tentative="0">
      <w:start w:val="1"/>
      <w:numFmt w:val="none"/>
      <w:pStyle w:val="83"/>
      <w:suff w:val="nothing"/>
      <w:lvlText w:val="%1"/>
      <w:lvlJc w:val="left"/>
      <w:pPr>
        <w:ind w:left="0" w:firstLine="0"/>
      </w:pPr>
      <w:rPr>
        <w:rFonts w:hint="eastAsia"/>
      </w:rPr>
    </w:lvl>
    <w:lvl w:ilvl="1" w:tentative="0">
      <w:start w:val="1"/>
      <w:numFmt w:val="decimal"/>
      <w:pStyle w:val="78"/>
      <w:suff w:val="nothing"/>
      <w:lvlText w:val="%1%2　"/>
      <w:lvlJc w:val="left"/>
      <w:pPr>
        <w:ind w:left="142"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85"/>
      <w:suff w:val="nothing"/>
      <w:lvlText w:val="%1%2.%3.%4　"/>
      <w:lvlJc w:val="left"/>
      <w:pPr>
        <w:ind w:left="1701"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EDC3AA5"/>
    <w:multiLevelType w:val="multilevel"/>
    <w:tmpl w:val="6EDC3AA5"/>
    <w:lvl w:ilvl="0" w:tentative="0">
      <w:start w:val="1"/>
      <w:numFmt w:val="upperLetter"/>
      <w:lvlText w:val="附录%1"/>
      <w:lvlJc w:val="left"/>
      <w:pPr>
        <w:ind w:left="2532" w:hanging="432"/>
      </w:pPr>
      <w:rPr>
        <w:rFonts w:hint="eastAsia"/>
      </w:rPr>
    </w:lvl>
    <w:lvl w:ilvl="1" w:tentative="0">
      <w:start w:val="1"/>
      <w:numFmt w:val="decimal"/>
      <w:pStyle w:val="54"/>
      <w:lvlText w:val="%1.%2"/>
      <w:lvlJc w:val="left"/>
      <w:pPr>
        <w:ind w:left="2676" w:hanging="576"/>
      </w:pPr>
      <w:rPr>
        <w:rFonts w:hint="eastAsia"/>
      </w:rPr>
    </w:lvl>
    <w:lvl w:ilvl="2" w:tentative="0">
      <w:start w:val="1"/>
      <w:numFmt w:val="decimal"/>
      <w:lvlText w:val="%1.%2.%3"/>
      <w:lvlJc w:val="left"/>
      <w:pPr>
        <w:ind w:left="2820" w:hanging="720"/>
      </w:pPr>
      <w:rPr>
        <w:rFonts w:hint="eastAsia"/>
      </w:rPr>
    </w:lvl>
    <w:lvl w:ilvl="3" w:tentative="0">
      <w:start w:val="1"/>
      <w:numFmt w:val="decimal"/>
      <w:lvlText w:val="%1.%2.%3.%4"/>
      <w:lvlJc w:val="left"/>
      <w:pPr>
        <w:ind w:left="2964" w:hanging="864"/>
      </w:pPr>
      <w:rPr>
        <w:rFonts w:hint="eastAsia"/>
      </w:rPr>
    </w:lvl>
    <w:lvl w:ilvl="4" w:tentative="0">
      <w:start w:val="1"/>
      <w:numFmt w:val="decimal"/>
      <w:lvlText w:val="%1.%2.%3.%4.%5"/>
      <w:lvlJc w:val="left"/>
      <w:pPr>
        <w:ind w:left="3108" w:hanging="1008"/>
      </w:pPr>
      <w:rPr>
        <w:rFonts w:hint="eastAsia"/>
      </w:rPr>
    </w:lvl>
    <w:lvl w:ilvl="5" w:tentative="0">
      <w:start w:val="1"/>
      <w:numFmt w:val="decimal"/>
      <w:lvlText w:val="%1.%2.%3.%4.%5.%6"/>
      <w:lvlJc w:val="left"/>
      <w:pPr>
        <w:ind w:left="3252" w:hanging="1152"/>
      </w:pPr>
      <w:rPr>
        <w:rFonts w:hint="eastAsia"/>
      </w:rPr>
    </w:lvl>
    <w:lvl w:ilvl="6" w:tentative="0">
      <w:start w:val="1"/>
      <w:numFmt w:val="decimal"/>
      <w:lvlText w:val="%1.%2.%3.%4.%5.%6.%7"/>
      <w:lvlJc w:val="left"/>
      <w:pPr>
        <w:ind w:left="3396" w:hanging="1296"/>
      </w:pPr>
      <w:rPr>
        <w:rFonts w:hint="eastAsia"/>
      </w:rPr>
    </w:lvl>
    <w:lvl w:ilvl="7" w:tentative="0">
      <w:start w:val="1"/>
      <w:numFmt w:val="decimal"/>
      <w:lvlText w:val="%1.%2.%3.%4.%5.%6.%7.%8"/>
      <w:lvlJc w:val="left"/>
      <w:pPr>
        <w:ind w:left="3540" w:hanging="1440"/>
      </w:pPr>
      <w:rPr>
        <w:rFonts w:hint="eastAsia"/>
      </w:rPr>
    </w:lvl>
    <w:lvl w:ilvl="8" w:tentative="0">
      <w:start w:val="1"/>
      <w:numFmt w:val="decimal"/>
      <w:lvlText w:val="%1.%2.%3.%4.%5.%6.%7.%8.%9"/>
      <w:lvlJc w:val="left"/>
      <w:pPr>
        <w:ind w:left="3684" w:hanging="1584"/>
      </w:pPr>
      <w:rPr>
        <w:rFonts w:hint="eastAsia"/>
      </w:rPr>
    </w:lvl>
  </w:abstractNum>
  <w:abstractNum w:abstractNumId="16">
    <w:nsid w:val="741E7F8F"/>
    <w:multiLevelType w:val="multilevel"/>
    <w:tmpl w:val="741E7F8F"/>
    <w:lvl w:ilvl="0" w:tentative="0">
      <w:start w:val="1"/>
      <w:numFmt w:val="lowerLetter"/>
      <w:pStyle w:val="98"/>
      <w:lvlText w:val="%1)"/>
      <w:lvlJc w:val="left"/>
      <w:pPr>
        <w:tabs>
          <w:tab w:val="left" w:pos="851"/>
        </w:tabs>
        <w:ind w:left="851" w:hanging="426"/>
      </w:pPr>
      <w:rPr>
        <w:rFonts w:hint="default" w:ascii="Times New Roman" w:hAnsi="Times New Roman" w:eastAsia="宋体"/>
        <w:sz w:val="21"/>
      </w:rPr>
    </w:lvl>
    <w:lvl w:ilvl="1" w:tentative="0">
      <w:start w:val="1"/>
      <w:numFmt w:val="decimal"/>
      <w:pStyle w:val="99"/>
      <w:lvlText w:val="%2)"/>
      <w:lvlJc w:val="left"/>
      <w:pPr>
        <w:tabs>
          <w:tab w:val="left" w:pos="1276"/>
        </w:tabs>
        <w:ind w:left="1276" w:hanging="425"/>
      </w:pPr>
      <w:rPr>
        <w:rFonts w:hint="default" w:ascii="Times New Roman"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7FE5595C"/>
    <w:multiLevelType w:val="multilevel"/>
    <w:tmpl w:val="7FE5595C"/>
    <w:lvl w:ilvl="0" w:tentative="0">
      <w:start w:val="2"/>
      <w:numFmt w:val="decimal"/>
      <w:lvlText w:val="%1."/>
      <w:lvlJc w:val="left"/>
      <w:pPr>
        <w:tabs>
          <w:tab w:val="left" w:pos="432"/>
        </w:tabs>
        <w:ind w:left="432" w:hanging="432"/>
      </w:pPr>
      <w:rPr>
        <w:rFonts w:hint="default"/>
      </w:rPr>
    </w:lvl>
    <w:lvl w:ilvl="1" w:tentative="0">
      <w:start w:val="0"/>
      <w:numFmt w:val="decimal"/>
      <w:lvlText w:val="%1.%2.1"/>
      <w:lvlJc w:val="left"/>
      <w:pPr>
        <w:tabs>
          <w:tab w:val="left" w:pos="0"/>
        </w:tabs>
        <w:ind w:left="0" w:firstLine="0"/>
      </w:pPr>
      <w:rPr>
        <w:rFonts w:hint="eastAsia"/>
      </w:rPr>
    </w:lvl>
    <w:lvl w:ilvl="2" w:tentative="0">
      <w:start w:val="1"/>
      <w:numFmt w:val="decimal"/>
      <w:lvlRestart w:val="1"/>
      <w:pStyle w:val="16"/>
      <w:suff w:val="nothing"/>
      <w:lvlText w:val="%1.%2.%3  "/>
      <w:lvlJc w:val="left"/>
      <w:pPr>
        <w:ind w:left="0" w:firstLine="0"/>
      </w:pPr>
      <w:rPr>
        <w:rFonts w:hint="eastAsia"/>
        <w:b/>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3"/>
  </w:num>
  <w:num w:numId="2">
    <w:abstractNumId w:val="9"/>
  </w:num>
  <w:num w:numId="3">
    <w:abstractNumId w:val="17"/>
  </w:num>
  <w:num w:numId="4">
    <w:abstractNumId w:val="15"/>
  </w:num>
  <w:num w:numId="5">
    <w:abstractNumId w:val="3"/>
  </w:num>
  <w:num w:numId="6">
    <w:abstractNumId w:val="11"/>
  </w:num>
  <w:num w:numId="7">
    <w:abstractNumId w:val="2"/>
  </w:num>
  <w:num w:numId="8">
    <w:abstractNumId w:val="14"/>
  </w:num>
  <w:num w:numId="9">
    <w:abstractNumId w:val="5"/>
  </w:num>
  <w:num w:numId="10">
    <w:abstractNumId w:val="12"/>
  </w:num>
  <w:num w:numId="11">
    <w:abstractNumId w:val="6"/>
  </w:num>
  <w:num w:numId="12">
    <w:abstractNumId w:val="8"/>
  </w:num>
  <w:num w:numId="13">
    <w:abstractNumId w:val="10"/>
  </w:num>
  <w:num w:numId="14">
    <w:abstractNumId w:val="16"/>
  </w:num>
  <w:num w:numId="15">
    <w:abstractNumId w:val="0"/>
  </w:num>
  <w:num w:numId="16">
    <w:abstractNumId w:val="4"/>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374"/>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ZWUxNmZhZGU0YzA3YjdiODk0MzcwODQ1ZDQ1MmEifQ=="/>
  </w:docVars>
  <w:rsids>
    <w:rsidRoot w:val="00172A27"/>
    <w:rsid w:val="00002726"/>
    <w:rsid w:val="00007331"/>
    <w:rsid w:val="0001309F"/>
    <w:rsid w:val="000222D2"/>
    <w:rsid w:val="000237C0"/>
    <w:rsid w:val="00027725"/>
    <w:rsid w:val="00034F5A"/>
    <w:rsid w:val="00037C05"/>
    <w:rsid w:val="00044DF2"/>
    <w:rsid w:val="000456DD"/>
    <w:rsid w:val="00045932"/>
    <w:rsid w:val="00046D61"/>
    <w:rsid w:val="00047414"/>
    <w:rsid w:val="000475E1"/>
    <w:rsid w:val="000564E7"/>
    <w:rsid w:val="000574B2"/>
    <w:rsid w:val="00060982"/>
    <w:rsid w:val="0006250A"/>
    <w:rsid w:val="00062E64"/>
    <w:rsid w:val="000643BD"/>
    <w:rsid w:val="00065042"/>
    <w:rsid w:val="000668B9"/>
    <w:rsid w:val="00073713"/>
    <w:rsid w:val="000841C2"/>
    <w:rsid w:val="00084E50"/>
    <w:rsid w:val="00086185"/>
    <w:rsid w:val="00086C8D"/>
    <w:rsid w:val="00087502"/>
    <w:rsid w:val="000877FF"/>
    <w:rsid w:val="00090047"/>
    <w:rsid w:val="00090370"/>
    <w:rsid w:val="000922B3"/>
    <w:rsid w:val="00092A82"/>
    <w:rsid w:val="00094215"/>
    <w:rsid w:val="000A3876"/>
    <w:rsid w:val="000B06DE"/>
    <w:rsid w:val="000B6994"/>
    <w:rsid w:val="000B6E50"/>
    <w:rsid w:val="000B7AA8"/>
    <w:rsid w:val="000C0BCE"/>
    <w:rsid w:val="000C389D"/>
    <w:rsid w:val="000D0E0B"/>
    <w:rsid w:val="000D24CD"/>
    <w:rsid w:val="000D32F6"/>
    <w:rsid w:val="000D3BF5"/>
    <w:rsid w:val="000D479B"/>
    <w:rsid w:val="000E407A"/>
    <w:rsid w:val="000E46B0"/>
    <w:rsid w:val="000E7D33"/>
    <w:rsid w:val="000F20A9"/>
    <w:rsid w:val="000F4CCF"/>
    <w:rsid w:val="0010085C"/>
    <w:rsid w:val="00102EE6"/>
    <w:rsid w:val="00106B1A"/>
    <w:rsid w:val="0010795D"/>
    <w:rsid w:val="001302A0"/>
    <w:rsid w:val="00132932"/>
    <w:rsid w:val="00132CA6"/>
    <w:rsid w:val="001450CF"/>
    <w:rsid w:val="00147977"/>
    <w:rsid w:val="00155230"/>
    <w:rsid w:val="00157184"/>
    <w:rsid w:val="00160A1C"/>
    <w:rsid w:val="00170ECE"/>
    <w:rsid w:val="00172A27"/>
    <w:rsid w:val="001756FB"/>
    <w:rsid w:val="00175EDE"/>
    <w:rsid w:val="001822A9"/>
    <w:rsid w:val="00184430"/>
    <w:rsid w:val="0018533A"/>
    <w:rsid w:val="0019087D"/>
    <w:rsid w:val="0019109C"/>
    <w:rsid w:val="00193865"/>
    <w:rsid w:val="00197073"/>
    <w:rsid w:val="001A3197"/>
    <w:rsid w:val="001A3797"/>
    <w:rsid w:val="001A39B0"/>
    <w:rsid w:val="001A4065"/>
    <w:rsid w:val="001A5096"/>
    <w:rsid w:val="001A5769"/>
    <w:rsid w:val="001B09BE"/>
    <w:rsid w:val="001B105B"/>
    <w:rsid w:val="001B404D"/>
    <w:rsid w:val="001B53BB"/>
    <w:rsid w:val="001B5EE8"/>
    <w:rsid w:val="001D771B"/>
    <w:rsid w:val="001E5D72"/>
    <w:rsid w:val="001E661B"/>
    <w:rsid w:val="001F0ADC"/>
    <w:rsid w:val="001F27EE"/>
    <w:rsid w:val="001F2820"/>
    <w:rsid w:val="001F289D"/>
    <w:rsid w:val="001F3BAB"/>
    <w:rsid w:val="001F3CC3"/>
    <w:rsid w:val="001F5C07"/>
    <w:rsid w:val="001F5D2C"/>
    <w:rsid w:val="001F6478"/>
    <w:rsid w:val="00202678"/>
    <w:rsid w:val="00204440"/>
    <w:rsid w:val="002102BD"/>
    <w:rsid w:val="002113DA"/>
    <w:rsid w:val="002116F5"/>
    <w:rsid w:val="00216B59"/>
    <w:rsid w:val="00217E52"/>
    <w:rsid w:val="00226202"/>
    <w:rsid w:val="00226D57"/>
    <w:rsid w:val="002300CF"/>
    <w:rsid w:val="002306D7"/>
    <w:rsid w:val="00231480"/>
    <w:rsid w:val="002326B3"/>
    <w:rsid w:val="00240CAB"/>
    <w:rsid w:val="00241380"/>
    <w:rsid w:val="00242B9A"/>
    <w:rsid w:val="002440A3"/>
    <w:rsid w:val="00246970"/>
    <w:rsid w:val="002507C8"/>
    <w:rsid w:val="00252CB6"/>
    <w:rsid w:val="002627E4"/>
    <w:rsid w:val="002630F2"/>
    <w:rsid w:val="00274773"/>
    <w:rsid w:val="0027659D"/>
    <w:rsid w:val="00277F86"/>
    <w:rsid w:val="002807C4"/>
    <w:rsid w:val="00286471"/>
    <w:rsid w:val="0029079B"/>
    <w:rsid w:val="00291E16"/>
    <w:rsid w:val="00294A17"/>
    <w:rsid w:val="00297D76"/>
    <w:rsid w:val="002A6790"/>
    <w:rsid w:val="002B2859"/>
    <w:rsid w:val="002B3715"/>
    <w:rsid w:val="002B493B"/>
    <w:rsid w:val="002B6B36"/>
    <w:rsid w:val="002B7CF0"/>
    <w:rsid w:val="002C3126"/>
    <w:rsid w:val="002C3C79"/>
    <w:rsid w:val="002C4249"/>
    <w:rsid w:val="002C58C3"/>
    <w:rsid w:val="002D6B26"/>
    <w:rsid w:val="002E678B"/>
    <w:rsid w:val="002E6A7E"/>
    <w:rsid w:val="002F3562"/>
    <w:rsid w:val="00301530"/>
    <w:rsid w:val="003015F3"/>
    <w:rsid w:val="0030259C"/>
    <w:rsid w:val="00302733"/>
    <w:rsid w:val="00302E04"/>
    <w:rsid w:val="00303B40"/>
    <w:rsid w:val="00320C2B"/>
    <w:rsid w:val="003262D6"/>
    <w:rsid w:val="00326FED"/>
    <w:rsid w:val="003300A2"/>
    <w:rsid w:val="0033272D"/>
    <w:rsid w:val="00336252"/>
    <w:rsid w:val="00336BF9"/>
    <w:rsid w:val="00337D24"/>
    <w:rsid w:val="00340728"/>
    <w:rsid w:val="00347BFA"/>
    <w:rsid w:val="00350C98"/>
    <w:rsid w:val="00355007"/>
    <w:rsid w:val="00363E61"/>
    <w:rsid w:val="00365A8C"/>
    <w:rsid w:val="003667DB"/>
    <w:rsid w:val="003707CE"/>
    <w:rsid w:val="003732C6"/>
    <w:rsid w:val="00377E03"/>
    <w:rsid w:val="003830B4"/>
    <w:rsid w:val="00387D56"/>
    <w:rsid w:val="00392484"/>
    <w:rsid w:val="00395896"/>
    <w:rsid w:val="00397AB0"/>
    <w:rsid w:val="003A0FFE"/>
    <w:rsid w:val="003A1264"/>
    <w:rsid w:val="003B7F52"/>
    <w:rsid w:val="003C71CA"/>
    <w:rsid w:val="003C764F"/>
    <w:rsid w:val="003D593E"/>
    <w:rsid w:val="003D73BC"/>
    <w:rsid w:val="003E6B0A"/>
    <w:rsid w:val="003E6FE4"/>
    <w:rsid w:val="003E7A91"/>
    <w:rsid w:val="003F083A"/>
    <w:rsid w:val="003F25C8"/>
    <w:rsid w:val="003F2D7F"/>
    <w:rsid w:val="00404A53"/>
    <w:rsid w:val="00405866"/>
    <w:rsid w:val="004135EC"/>
    <w:rsid w:val="004138FC"/>
    <w:rsid w:val="00414065"/>
    <w:rsid w:val="004229D5"/>
    <w:rsid w:val="00423F90"/>
    <w:rsid w:val="00425381"/>
    <w:rsid w:val="0042733B"/>
    <w:rsid w:val="004273BC"/>
    <w:rsid w:val="00430854"/>
    <w:rsid w:val="004318C8"/>
    <w:rsid w:val="00431FE8"/>
    <w:rsid w:val="00433CE2"/>
    <w:rsid w:val="00437384"/>
    <w:rsid w:val="004410F9"/>
    <w:rsid w:val="004423B1"/>
    <w:rsid w:val="0044563E"/>
    <w:rsid w:val="0044773F"/>
    <w:rsid w:val="004560C9"/>
    <w:rsid w:val="0046077F"/>
    <w:rsid w:val="00461C29"/>
    <w:rsid w:val="004640C6"/>
    <w:rsid w:val="00466037"/>
    <w:rsid w:val="00466326"/>
    <w:rsid w:val="00475E48"/>
    <w:rsid w:val="00484E30"/>
    <w:rsid w:val="0048537B"/>
    <w:rsid w:val="0048629E"/>
    <w:rsid w:val="00490C56"/>
    <w:rsid w:val="004915A5"/>
    <w:rsid w:val="00494D1A"/>
    <w:rsid w:val="004975C3"/>
    <w:rsid w:val="00497C8C"/>
    <w:rsid w:val="00497FF2"/>
    <w:rsid w:val="004A06F0"/>
    <w:rsid w:val="004A0DCD"/>
    <w:rsid w:val="004A4FA7"/>
    <w:rsid w:val="004A564E"/>
    <w:rsid w:val="004A5ADC"/>
    <w:rsid w:val="004A622C"/>
    <w:rsid w:val="004A7950"/>
    <w:rsid w:val="004B792A"/>
    <w:rsid w:val="004B7EC9"/>
    <w:rsid w:val="004D1EC0"/>
    <w:rsid w:val="004D6C80"/>
    <w:rsid w:val="004E066D"/>
    <w:rsid w:val="004E3AC7"/>
    <w:rsid w:val="004F3DAB"/>
    <w:rsid w:val="004F6F32"/>
    <w:rsid w:val="00504DF8"/>
    <w:rsid w:val="0050510F"/>
    <w:rsid w:val="005069CE"/>
    <w:rsid w:val="00520C06"/>
    <w:rsid w:val="005222A3"/>
    <w:rsid w:val="005228E9"/>
    <w:rsid w:val="005234E7"/>
    <w:rsid w:val="005276F1"/>
    <w:rsid w:val="0053440A"/>
    <w:rsid w:val="00536467"/>
    <w:rsid w:val="005547AA"/>
    <w:rsid w:val="00557159"/>
    <w:rsid w:val="00574ABE"/>
    <w:rsid w:val="00584459"/>
    <w:rsid w:val="00584D2D"/>
    <w:rsid w:val="0059598A"/>
    <w:rsid w:val="005A4D50"/>
    <w:rsid w:val="005B20D2"/>
    <w:rsid w:val="005B2836"/>
    <w:rsid w:val="005B3ED2"/>
    <w:rsid w:val="005B721A"/>
    <w:rsid w:val="005C576F"/>
    <w:rsid w:val="005C6688"/>
    <w:rsid w:val="005D15B9"/>
    <w:rsid w:val="005D1D1B"/>
    <w:rsid w:val="005D1E3E"/>
    <w:rsid w:val="005D44F3"/>
    <w:rsid w:val="005D45C4"/>
    <w:rsid w:val="005D613A"/>
    <w:rsid w:val="005D62AE"/>
    <w:rsid w:val="005D76BC"/>
    <w:rsid w:val="005E1A39"/>
    <w:rsid w:val="005E65ED"/>
    <w:rsid w:val="005F447D"/>
    <w:rsid w:val="005F687F"/>
    <w:rsid w:val="005F7715"/>
    <w:rsid w:val="00601817"/>
    <w:rsid w:val="00601CF4"/>
    <w:rsid w:val="00603329"/>
    <w:rsid w:val="00605725"/>
    <w:rsid w:val="00611ABC"/>
    <w:rsid w:val="00611D6A"/>
    <w:rsid w:val="00617F61"/>
    <w:rsid w:val="006207C4"/>
    <w:rsid w:val="00620908"/>
    <w:rsid w:val="00622DD3"/>
    <w:rsid w:val="00624F53"/>
    <w:rsid w:val="00625705"/>
    <w:rsid w:val="00626D76"/>
    <w:rsid w:val="006310E7"/>
    <w:rsid w:val="0063320D"/>
    <w:rsid w:val="0063355A"/>
    <w:rsid w:val="0063583B"/>
    <w:rsid w:val="00635D5C"/>
    <w:rsid w:val="00636A35"/>
    <w:rsid w:val="00640086"/>
    <w:rsid w:val="006404F3"/>
    <w:rsid w:val="00643738"/>
    <w:rsid w:val="00644D4A"/>
    <w:rsid w:val="006457FD"/>
    <w:rsid w:val="00647F5B"/>
    <w:rsid w:val="00650ED3"/>
    <w:rsid w:val="00652271"/>
    <w:rsid w:val="00653637"/>
    <w:rsid w:val="00663185"/>
    <w:rsid w:val="00663B8C"/>
    <w:rsid w:val="00666FE3"/>
    <w:rsid w:val="00671508"/>
    <w:rsid w:val="00673F83"/>
    <w:rsid w:val="00676ABC"/>
    <w:rsid w:val="00681530"/>
    <w:rsid w:val="00684D86"/>
    <w:rsid w:val="00686712"/>
    <w:rsid w:val="006949B4"/>
    <w:rsid w:val="00695A98"/>
    <w:rsid w:val="00696460"/>
    <w:rsid w:val="0069702E"/>
    <w:rsid w:val="00697106"/>
    <w:rsid w:val="00697FB4"/>
    <w:rsid w:val="006A5F8A"/>
    <w:rsid w:val="006A6302"/>
    <w:rsid w:val="006A7483"/>
    <w:rsid w:val="006B67D3"/>
    <w:rsid w:val="006C4B45"/>
    <w:rsid w:val="006D69ED"/>
    <w:rsid w:val="006E1DCF"/>
    <w:rsid w:val="006E2AD9"/>
    <w:rsid w:val="006E6C16"/>
    <w:rsid w:val="006E6EC7"/>
    <w:rsid w:val="006F0E2C"/>
    <w:rsid w:val="007036BD"/>
    <w:rsid w:val="00705B03"/>
    <w:rsid w:val="0071444A"/>
    <w:rsid w:val="007163EC"/>
    <w:rsid w:val="007217F9"/>
    <w:rsid w:val="0072511A"/>
    <w:rsid w:val="00742F85"/>
    <w:rsid w:val="00743C48"/>
    <w:rsid w:val="0074511C"/>
    <w:rsid w:val="00746871"/>
    <w:rsid w:val="00747853"/>
    <w:rsid w:val="0075100D"/>
    <w:rsid w:val="00756799"/>
    <w:rsid w:val="007604B5"/>
    <w:rsid w:val="00765372"/>
    <w:rsid w:val="00766567"/>
    <w:rsid w:val="007765D4"/>
    <w:rsid w:val="007766C0"/>
    <w:rsid w:val="007768F5"/>
    <w:rsid w:val="007771F3"/>
    <w:rsid w:val="007819B9"/>
    <w:rsid w:val="00791268"/>
    <w:rsid w:val="007937E1"/>
    <w:rsid w:val="00796490"/>
    <w:rsid w:val="007A1EAE"/>
    <w:rsid w:val="007A2746"/>
    <w:rsid w:val="007A2D29"/>
    <w:rsid w:val="007A60EC"/>
    <w:rsid w:val="007A7497"/>
    <w:rsid w:val="007B17C0"/>
    <w:rsid w:val="007B5242"/>
    <w:rsid w:val="007D61BA"/>
    <w:rsid w:val="007D76DB"/>
    <w:rsid w:val="007E058E"/>
    <w:rsid w:val="007F35F8"/>
    <w:rsid w:val="007F5F43"/>
    <w:rsid w:val="00801CF8"/>
    <w:rsid w:val="008033F2"/>
    <w:rsid w:val="00803CD5"/>
    <w:rsid w:val="00807280"/>
    <w:rsid w:val="0081071F"/>
    <w:rsid w:val="008141A7"/>
    <w:rsid w:val="00814974"/>
    <w:rsid w:val="008152D9"/>
    <w:rsid w:val="00815F65"/>
    <w:rsid w:val="008342E3"/>
    <w:rsid w:val="00837A53"/>
    <w:rsid w:val="0084728B"/>
    <w:rsid w:val="00852DFC"/>
    <w:rsid w:val="00854BF8"/>
    <w:rsid w:val="008566BE"/>
    <w:rsid w:val="00860CC9"/>
    <w:rsid w:val="008655E9"/>
    <w:rsid w:val="008730D4"/>
    <w:rsid w:val="00876E0B"/>
    <w:rsid w:val="00877CF3"/>
    <w:rsid w:val="00885B0A"/>
    <w:rsid w:val="0089187C"/>
    <w:rsid w:val="00891F1B"/>
    <w:rsid w:val="008920A3"/>
    <w:rsid w:val="0089295E"/>
    <w:rsid w:val="008A0388"/>
    <w:rsid w:val="008A08E0"/>
    <w:rsid w:val="008A5501"/>
    <w:rsid w:val="008B45DD"/>
    <w:rsid w:val="008B5140"/>
    <w:rsid w:val="008B54D4"/>
    <w:rsid w:val="008B5CEE"/>
    <w:rsid w:val="008B6216"/>
    <w:rsid w:val="008B6B3F"/>
    <w:rsid w:val="008B711E"/>
    <w:rsid w:val="008B75E8"/>
    <w:rsid w:val="008C0FA9"/>
    <w:rsid w:val="008C1DFB"/>
    <w:rsid w:val="008C2FA1"/>
    <w:rsid w:val="008C67CD"/>
    <w:rsid w:val="008D159A"/>
    <w:rsid w:val="008D209F"/>
    <w:rsid w:val="008D7A62"/>
    <w:rsid w:val="008E29AB"/>
    <w:rsid w:val="008E632F"/>
    <w:rsid w:val="008E741E"/>
    <w:rsid w:val="008F4A53"/>
    <w:rsid w:val="008F5E99"/>
    <w:rsid w:val="00907361"/>
    <w:rsid w:val="009173BB"/>
    <w:rsid w:val="00920750"/>
    <w:rsid w:val="009220AF"/>
    <w:rsid w:val="00924B26"/>
    <w:rsid w:val="0092641A"/>
    <w:rsid w:val="009269CD"/>
    <w:rsid w:val="0092752A"/>
    <w:rsid w:val="00930029"/>
    <w:rsid w:val="009300E6"/>
    <w:rsid w:val="00933FEE"/>
    <w:rsid w:val="00935EEB"/>
    <w:rsid w:val="00940E1E"/>
    <w:rsid w:val="009467B5"/>
    <w:rsid w:val="00953279"/>
    <w:rsid w:val="0096457B"/>
    <w:rsid w:val="009656F9"/>
    <w:rsid w:val="009663FD"/>
    <w:rsid w:val="00974BE1"/>
    <w:rsid w:val="00977CD1"/>
    <w:rsid w:val="00980F11"/>
    <w:rsid w:val="009823CB"/>
    <w:rsid w:val="009900C5"/>
    <w:rsid w:val="00990832"/>
    <w:rsid w:val="00991227"/>
    <w:rsid w:val="00993C85"/>
    <w:rsid w:val="009B272E"/>
    <w:rsid w:val="009B3C37"/>
    <w:rsid w:val="009B580E"/>
    <w:rsid w:val="009B584F"/>
    <w:rsid w:val="009B7433"/>
    <w:rsid w:val="009C103E"/>
    <w:rsid w:val="009C1850"/>
    <w:rsid w:val="009C242A"/>
    <w:rsid w:val="009C3DB1"/>
    <w:rsid w:val="009D0422"/>
    <w:rsid w:val="009D29C3"/>
    <w:rsid w:val="009D2EA9"/>
    <w:rsid w:val="009E39B0"/>
    <w:rsid w:val="009E6298"/>
    <w:rsid w:val="009E6882"/>
    <w:rsid w:val="009E6DD3"/>
    <w:rsid w:val="009E74C7"/>
    <w:rsid w:val="009E783E"/>
    <w:rsid w:val="009F00CD"/>
    <w:rsid w:val="009F2BD8"/>
    <w:rsid w:val="009F336E"/>
    <w:rsid w:val="009F3797"/>
    <w:rsid w:val="009F4D17"/>
    <w:rsid w:val="009F6985"/>
    <w:rsid w:val="00A00C9C"/>
    <w:rsid w:val="00A0281A"/>
    <w:rsid w:val="00A05F3E"/>
    <w:rsid w:val="00A067D0"/>
    <w:rsid w:val="00A06E22"/>
    <w:rsid w:val="00A10498"/>
    <w:rsid w:val="00A137BD"/>
    <w:rsid w:val="00A15896"/>
    <w:rsid w:val="00A17636"/>
    <w:rsid w:val="00A1766D"/>
    <w:rsid w:val="00A21F7A"/>
    <w:rsid w:val="00A22EA1"/>
    <w:rsid w:val="00A24E49"/>
    <w:rsid w:val="00A32C85"/>
    <w:rsid w:val="00A338EE"/>
    <w:rsid w:val="00A41A8F"/>
    <w:rsid w:val="00A41E2E"/>
    <w:rsid w:val="00A4452A"/>
    <w:rsid w:val="00A51CD2"/>
    <w:rsid w:val="00A52158"/>
    <w:rsid w:val="00A60202"/>
    <w:rsid w:val="00A612E6"/>
    <w:rsid w:val="00A64270"/>
    <w:rsid w:val="00A70D7F"/>
    <w:rsid w:val="00A72B47"/>
    <w:rsid w:val="00A90653"/>
    <w:rsid w:val="00A90F1A"/>
    <w:rsid w:val="00A92045"/>
    <w:rsid w:val="00A9225C"/>
    <w:rsid w:val="00AA34FB"/>
    <w:rsid w:val="00AA5D65"/>
    <w:rsid w:val="00AB014C"/>
    <w:rsid w:val="00AB0321"/>
    <w:rsid w:val="00AB2C59"/>
    <w:rsid w:val="00AB3066"/>
    <w:rsid w:val="00AB4FB9"/>
    <w:rsid w:val="00AC1E45"/>
    <w:rsid w:val="00AC2E6B"/>
    <w:rsid w:val="00AC5352"/>
    <w:rsid w:val="00AC713D"/>
    <w:rsid w:val="00AC79A8"/>
    <w:rsid w:val="00AD2C89"/>
    <w:rsid w:val="00AD5152"/>
    <w:rsid w:val="00AD5B90"/>
    <w:rsid w:val="00AE3437"/>
    <w:rsid w:val="00AE6DEB"/>
    <w:rsid w:val="00AF16B5"/>
    <w:rsid w:val="00AF1B22"/>
    <w:rsid w:val="00AF225B"/>
    <w:rsid w:val="00AF3233"/>
    <w:rsid w:val="00AF40A7"/>
    <w:rsid w:val="00AF44D5"/>
    <w:rsid w:val="00AF50A6"/>
    <w:rsid w:val="00AF558F"/>
    <w:rsid w:val="00AF6245"/>
    <w:rsid w:val="00B0114E"/>
    <w:rsid w:val="00B01BE2"/>
    <w:rsid w:val="00B10231"/>
    <w:rsid w:val="00B20CDF"/>
    <w:rsid w:val="00B21835"/>
    <w:rsid w:val="00B31528"/>
    <w:rsid w:val="00B3205F"/>
    <w:rsid w:val="00B35D58"/>
    <w:rsid w:val="00B36E16"/>
    <w:rsid w:val="00B37637"/>
    <w:rsid w:val="00B41D4C"/>
    <w:rsid w:val="00B43BE3"/>
    <w:rsid w:val="00B46796"/>
    <w:rsid w:val="00B50C43"/>
    <w:rsid w:val="00B5308B"/>
    <w:rsid w:val="00B54889"/>
    <w:rsid w:val="00B61418"/>
    <w:rsid w:val="00B64D8E"/>
    <w:rsid w:val="00B72649"/>
    <w:rsid w:val="00B731E4"/>
    <w:rsid w:val="00B73A20"/>
    <w:rsid w:val="00B76BC0"/>
    <w:rsid w:val="00B77BDC"/>
    <w:rsid w:val="00B822EC"/>
    <w:rsid w:val="00B84AE2"/>
    <w:rsid w:val="00B8702C"/>
    <w:rsid w:val="00B87D31"/>
    <w:rsid w:val="00B90B5E"/>
    <w:rsid w:val="00B91CE3"/>
    <w:rsid w:val="00BA4CC1"/>
    <w:rsid w:val="00BA7AB7"/>
    <w:rsid w:val="00BB102A"/>
    <w:rsid w:val="00BB242E"/>
    <w:rsid w:val="00BB45BB"/>
    <w:rsid w:val="00BB49BC"/>
    <w:rsid w:val="00BB49E8"/>
    <w:rsid w:val="00BB6E1B"/>
    <w:rsid w:val="00BC14DA"/>
    <w:rsid w:val="00BC4291"/>
    <w:rsid w:val="00BD1EC2"/>
    <w:rsid w:val="00BD2B15"/>
    <w:rsid w:val="00BD508F"/>
    <w:rsid w:val="00BD72C2"/>
    <w:rsid w:val="00BD72D9"/>
    <w:rsid w:val="00BE28C9"/>
    <w:rsid w:val="00BF2D47"/>
    <w:rsid w:val="00BF3A4B"/>
    <w:rsid w:val="00BF5D30"/>
    <w:rsid w:val="00BF6600"/>
    <w:rsid w:val="00C030CB"/>
    <w:rsid w:val="00C04294"/>
    <w:rsid w:val="00C12970"/>
    <w:rsid w:val="00C15760"/>
    <w:rsid w:val="00C157F0"/>
    <w:rsid w:val="00C158BB"/>
    <w:rsid w:val="00C22732"/>
    <w:rsid w:val="00C250C0"/>
    <w:rsid w:val="00C2771A"/>
    <w:rsid w:val="00C30151"/>
    <w:rsid w:val="00C377F5"/>
    <w:rsid w:val="00C37E45"/>
    <w:rsid w:val="00C43053"/>
    <w:rsid w:val="00C47B3B"/>
    <w:rsid w:val="00C5039F"/>
    <w:rsid w:val="00C51DD8"/>
    <w:rsid w:val="00C54EDA"/>
    <w:rsid w:val="00C62190"/>
    <w:rsid w:val="00C63406"/>
    <w:rsid w:val="00C64044"/>
    <w:rsid w:val="00C67480"/>
    <w:rsid w:val="00C73713"/>
    <w:rsid w:val="00C7436F"/>
    <w:rsid w:val="00C74A6F"/>
    <w:rsid w:val="00C76304"/>
    <w:rsid w:val="00C7709B"/>
    <w:rsid w:val="00C8204E"/>
    <w:rsid w:val="00C84955"/>
    <w:rsid w:val="00C86D85"/>
    <w:rsid w:val="00C86E9A"/>
    <w:rsid w:val="00C93782"/>
    <w:rsid w:val="00C93C9F"/>
    <w:rsid w:val="00C95017"/>
    <w:rsid w:val="00C97BB4"/>
    <w:rsid w:val="00CA0B0B"/>
    <w:rsid w:val="00CA1721"/>
    <w:rsid w:val="00CA24BA"/>
    <w:rsid w:val="00CA38E8"/>
    <w:rsid w:val="00CB0919"/>
    <w:rsid w:val="00CB1E74"/>
    <w:rsid w:val="00CB2337"/>
    <w:rsid w:val="00CB4718"/>
    <w:rsid w:val="00CB6AD1"/>
    <w:rsid w:val="00CC0C56"/>
    <w:rsid w:val="00CC5F64"/>
    <w:rsid w:val="00CD3858"/>
    <w:rsid w:val="00CD7928"/>
    <w:rsid w:val="00CD7D5F"/>
    <w:rsid w:val="00CE7B49"/>
    <w:rsid w:val="00CF2412"/>
    <w:rsid w:val="00CF3BC9"/>
    <w:rsid w:val="00CF6E63"/>
    <w:rsid w:val="00D00EB8"/>
    <w:rsid w:val="00D03FF3"/>
    <w:rsid w:val="00D04211"/>
    <w:rsid w:val="00D072BE"/>
    <w:rsid w:val="00D1777B"/>
    <w:rsid w:val="00D17BBA"/>
    <w:rsid w:val="00D20402"/>
    <w:rsid w:val="00D20660"/>
    <w:rsid w:val="00D22187"/>
    <w:rsid w:val="00D23838"/>
    <w:rsid w:val="00D24478"/>
    <w:rsid w:val="00D32631"/>
    <w:rsid w:val="00D3306A"/>
    <w:rsid w:val="00D421D5"/>
    <w:rsid w:val="00D43F57"/>
    <w:rsid w:val="00D46F41"/>
    <w:rsid w:val="00D51914"/>
    <w:rsid w:val="00D55150"/>
    <w:rsid w:val="00D60DA7"/>
    <w:rsid w:val="00D63BC4"/>
    <w:rsid w:val="00D64776"/>
    <w:rsid w:val="00D6692A"/>
    <w:rsid w:val="00D77EAD"/>
    <w:rsid w:val="00D82E8D"/>
    <w:rsid w:val="00D8566D"/>
    <w:rsid w:val="00D859A7"/>
    <w:rsid w:val="00D90622"/>
    <w:rsid w:val="00D90E71"/>
    <w:rsid w:val="00D9131F"/>
    <w:rsid w:val="00D914DB"/>
    <w:rsid w:val="00D919C4"/>
    <w:rsid w:val="00D95797"/>
    <w:rsid w:val="00DA1B9D"/>
    <w:rsid w:val="00DA4AD9"/>
    <w:rsid w:val="00DB10FB"/>
    <w:rsid w:val="00DB61D5"/>
    <w:rsid w:val="00DB73B7"/>
    <w:rsid w:val="00DC0560"/>
    <w:rsid w:val="00DC232A"/>
    <w:rsid w:val="00DC35AE"/>
    <w:rsid w:val="00DD2A2F"/>
    <w:rsid w:val="00DE0494"/>
    <w:rsid w:val="00DE6F1C"/>
    <w:rsid w:val="00DE762A"/>
    <w:rsid w:val="00DF2207"/>
    <w:rsid w:val="00DF428F"/>
    <w:rsid w:val="00DF5F2D"/>
    <w:rsid w:val="00DF6221"/>
    <w:rsid w:val="00DF79D9"/>
    <w:rsid w:val="00E065B1"/>
    <w:rsid w:val="00E11994"/>
    <w:rsid w:val="00E13879"/>
    <w:rsid w:val="00E17047"/>
    <w:rsid w:val="00E23AE3"/>
    <w:rsid w:val="00E23EE9"/>
    <w:rsid w:val="00E26E1F"/>
    <w:rsid w:val="00E276A2"/>
    <w:rsid w:val="00E31B9C"/>
    <w:rsid w:val="00E32320"/>
    <w:rsid w:val="00E328F1"/>
    <w:rsid w:val="00E3762F"/>
    <w:rsid w:val="00E427EA"/>
    <w:rsid w:val="00E444A4"/>
    <w:rsid w:val="00E53494"/>
    <w:rsid w:val="00E53A9C"/>
    <w:rsid w:val="00E54E0B"/>
    <w:rsid w:val="00E626C2"/>
    <w:rsid w:val="00E723B6"/>
    <w:rsid w:val="00E81D28"/>
    <w:rsid w:val="00E83644"/>
    <w:rsid w:val="00E83F57"/>
    <w:rsid w:val="00EA174C"/>
    <w:rsid w:val="00EA3466"/>
    <w:rsid w:val="00EA4AE6"/>
    <w:rsid w:val="00EA60BC"/>
    <w:rsid w:val="00EA6767"/>
    <w:rsid w:val="00EB4677"/>
    <w:rsid w:val="00EB6F8D"/>
    <w:rsid w:val="00EC6109"/>
    <w:rsid w:val="00ED0D55"/>
    <w:rsid w:val="00ED1F68"/>
    <w:rsid w:val="00ED2A35"/>
    <w:rsid w:val="00ED40CF"/>
    <w:rsid w:val="00EE0389"/>
    <w:rsid w:val="00EE0462"/>
    <w:rsid w:val="00EE0573"/>
    <w:rsid w:val="00EE1EE9"/>
    <w:rsid w:val="00EE2365"/>
    <w:rsid w:val="00EE23AE"/>
    <w:rsid w:val="00EE4396"/>
    <w:rsid w:val="00EE49AC"/>
    <w:rsid w:val="00EE5D57"/>
    <w:rsid w:val="00EE62E1"/>
    <w:rsid w:val="00EE6431"/>
    <w:rsid w:val="00EF00A4"/>
    <w:rsid w:val="00EF0557"/>
    <w:rsid w:val="00EF4943"/>
    <w:rsid w:val="00EF5BCC"/>
    <w:rsid w:val="00EF69BC"/>
    <w:rsid w:val="00F11992"/>
    <w:rsid w:val="00F13583"/>
    <w:rsid w:val="00F1638E"/>
    <w:rsid w:val="00F26C9D"/>
    <w:rsid w:val="00F27611"/>
    <w:rsid w:val="00F359D3"/>
    <w:rsid w:val="00F36F2A"/>
    <w:rsid w:val="00F42ED2"/>
    <w:rsid w:val="00F43D52"/>
    <w:rsid w:val="00F43E45"/>
    <w:rsid w:val="00F50A98"/>
    <w:rsid w:val="00F545D3"/>
    <w:rsid w:val="00F61418"/>
    <w:rsid w:val="00F65697"/>
    <w:rsid w:val="00F67803"/>
    <w:rsid w:val="00F704A9"/>
    <w:rsid w:val="00F733B4"/>
    <w:rsid w:val="00F76E32"/>
    <w:rsid w:val="00F8670D"/>
    <w:rsid w:val="00F87A59"/>
    <w:rsid w:val="00F87DA6"/>
    <w:rsid w:val="00F90A22"/>
    <w:rsid w:val="00F92A4A"/>
    <w:rsid w:val="00F94730"/>
    <w:rsid w:val="00FA09C9"/>
    <w:rsid w:val="00FA0DBB"/>
    <w:rsid w:val="00FA3082"/>
    <w:rsid w:val="00FA7FB3"/>
    <w:rsid w:val="00FB1CAE"/>
    <w:rsid w:val="00FB1FBF"/>
    <w:rsid w:val="00FB4CE8"/>
    <w:rsid w:val="00FC07C8"/>
    <w:rsid w:val="00FC69EE"/>
    <w:rsid w:val="00FD3DCF"/>
    <w:rsid w:val="00FD7E6F"/>
    <w:rsid w:val="00FE35E7"/>
    <w:rsid w:val="00FE4FCD"/>
    <w:rsid w:val="00FF35CF"/>
    <w:rsid w:val="00FF3707"/>
    <w:rsid w:val="00FF39B8"/>
    <w:rsid w:val="00FF4900"/>
    <w:rsid w:val="00FF4FD0"/>
    <w:rsid w:val="00FF5F5A"/>
    <w:rsid w:val="00FF7CFF"/>
    <w:rsid w:val="018D5692"/>
    <w:rsid w:val="0311512C"/>
    <w:rsid w:val="031829F7"/>
    <w:rsid w:val="031F281C"/>
    <w:rsid w:val="03936CB9"/>
    <w:rsid w:val="042C5269"/>
    <w:rsid w:val="047A1C27"/>
    <w:rsid w:val="04833E56"/>
    <w:rsid w:val="051A4118"/>
    <w:rsid w:val="05283431"/>
    <w:rsid w:val="05467D5B"/>
    <w:rsid w:val="05600E1D"/>
    <w:rsid w:val="059E4768"/>
    <w:rsid w:val="05BE3D95"/>
    <w:rsid w:val="06532730"/>
    <w:rsid w:val="06764670"/>
    <w:rsid w:val="073C2D59"/>
    <w:rsid w:val="07B1696B"/>
    <w:rsid w:val="08406CE4"/>
    <w:rsid w:val="084648AF"/>
    <w:rsid w:val="090B72F2"/>
    <w:rsid w:val="0AC145B1"/>
    <w:rsid w:val="0BEB1007"/>
    <w:rsid w:val="0C6F7D43"/>
    <w:rsid w:val="0C8B5CCA"/>
    <w:rsid w:val="0CC2416B"/>
    <w:rsid w:val="0CC60652"/>
    <w:rsid w:val="0CE2480D"/>
    <w:rsid w:val="0CE6636C"/>
    <w:rsid w:val="0CFD33F5"/>
    <w:rsid w:val="0D352B8F"/>
    <w:rsid w:val="0D674D12"/>
    <w:rsid w:val="0DB066B9"/>
    <w:rsid w:val="0E455054"/>
    <w:rsid w:val="0E562ED1"/>
    <w:rsid w:val="0E835B7C"/>
    <w:rsid w:val="0E911084"/>
    <w:rsid w:val="0F716D6D"/>
    <w:rsid w:val="0FAC2EB1"/>
    <w:rsid w:val="11695E6D"/>
    <w:rsid w:val="11835E2C"/>
    <w:rsid w:val="11E4620F"/>
    <w:rsid w:val="12305B41"/>
    <w:rsid w:val="126D276B"/>
    <w:rsid w:val="13912AE9"/>
    <w:rsid w:val="13D11C7E"/>
    <w:rsid w:val="14AB31B1"/>
    <w:rsid w:val="15712731"/>
    <w:rsid w:val="1579050F"/>
    <w:rsid w:val="16691AFB"/>
    <w:rsid w:val="169A355B"/>
    <w:rsid w:val="16DA76DF"/>
    <w:rsid w:val="16F75359"/>
    <w:rsid w:val="17027547"/>
    <w:rsid w:val="171C6B6E"/>
    <w:rsid w:val="178A7F7B"/>
    <w:rsid w:val="17BD6BE0"/>
    <w:rsid w:val="182375C3"/>
    <w:rsid w:val="18624ACA"/>
    <w:rsid w:val="188E7C95"/>
    <w:rsid w:val="195021EB"/>
    <w:rsid w:val="19541910"/>
    <w:rsid w:val="1A327A3D"/>
    <w:rsid w:val="1A495ECC"/>
    <w:rsid w:val="1AEE70E0"/>
    <w:rsid w:val="1B387E6D"/>
    <w:rsid w:val="1BAD4238"/>
    <w:rsid w:val="1BCA0C62"/>
    <w:rsid w:val="1BF12CC7"/>
    <w:rsid w:val="1C911199"/>
    <w:rsid w:val="1D1F1166"/>
    <w:rsid w:val="1D662DD0"/>
    <w:rsid w:val="1D9842B8"/>
    <w:rsid w:val="1DB91A1B"/>
    <w:rsid w:val="1E62755C"/>
    <w:rsid w:val="1E9516DF"/>
    <w:rsid w:val="20365593"/>
    <w:rsid w:val="20E060D8"/>
    <w:rsid w:val="215F7BA1"/>
    <w:rsid w:val="21AD6B51"/>
    <w:rsid w:val="21BD349D"/>
    <w:rsid w:val="22B92D34"/>
    <w:rsid w:val="22E86466"/>
    <w:rsid w:val="22F15352"/>
    <w:rsid w:val="236A5531"/>
    <w:rsid w:val="237A0C7E"/>
    <w:rsid w:val="23AC4C40"/>
    <w:rsid w:val="23BD1EB2"/>
    <w:rsid w:val="24AB2C1A"/>
    <w:rsid w:val="24F86B92"/>
    <w:rsid w:val="252672CF"/>
    <w:rsid w:val="25A05C1B"/>
    <w:rsid w:val="26696963"/>
    <w:rsid w:val="27055F19"/>
    <w:rsid w:val="279B5A9A"/>
    <w:rsid w:val="27AE55C0"/>
    <w:rsid w:val="27C34FD3"/>
    <w:rsid w:val="27DC212D"/>
    <w:rsid w:val="28A27687"/>
    <w:rsid w:val="28D0255B"/>
    <w:rsid w:val="29E46BF5"/>
    <w:rsid w:val="29F07558"/>
    <w:rsid w:val="2BB55CCD"/>
    <w:rsid w:val="2BDE6481"/>
    <w:rsid w:val="2C300C99"/>
    <w:rsid w:val="2CB43679"/>
    <w:rsid w:val="2CD37FFE"/>
    <w:rsid w:val="2D630BFB"/>
    <w:rsid w:val="2DF14458"/>
    <w:rsid w:val="2DFB197A"/>
    <w:rsid w:val="2E041BDF"/>
    <w:rsid w:val="2EC4774D"/>
    <w:rsid w:val="2F1E127D"/>
    <w:rsid w:val="2F292327"/>
    <w:rsid w:val="2F9D3E3E"/>
    <w:rsid w:val="3017496B"/>
    <w:rsid w:val="301D62BE"/>
    <w:rsid w:val="306E7FE2"/>
    <w:rsid w:val="30D51E0F"/>
    <w:rsid w:val="30F70F95"/>
    <w:rsid w:val="31404A1A"/>
    <w:rsid w:val="31AA6033"/>
    <w:rsid w:val="31AB29AC"/>
    <w:rsid w:val="327D7042"/>
    <w:rsid w:val="33C76378"/>
    <w:rsid w:val="344C3042"/>
    <w:rsid w:val="34BA37F6"/>
    <w:rsid w:val="3502462B"/>
    <w:rsid w:val="356907F5"/>
    <w:rsid w:val="357D5EE4"/>
    <w:rsid w:val="36164022"/>
    <w:rsid w:val="36783969"/>
    <w:rsid w:val="36D66E92"/>
    <w:rsid w:val="36DC5D3B"/>
    <w:rsid w:val="36F15A86"/>
    <w:rsid w:val="373C6151"/>
    <w:rsid w:val="38201F94"/>
    <w:rsid w:val="3831226C"/>
    <w:rsid w:val="383703F5"/>
    <w:rsid w:val="388002AF"/>
    <w:rsid w:val="3896733D"/>
    <w:rsid w:val="39363667"/>
    <w:rsid w:val="394169F7"/>
    <w:rsid w:val="39BC1DBE"/>
    <w:rsid w:val="3A5946A7"/>
    <w:rsid w:val="3A7A5C10"/>
    <w:rsid w:val="3AAA4AB6"/>
    <w:rsid w:val="3B3B31B7"/>
    <w:rsid w:val="3B5B4147"/>
    <w:rsid w:val="3C6B187A"/>
    <w:rsid w:val="3C9568F7"/>
    <w:rsid w:val="3D2D5090"/>
    <w:rsid w:val="3DC0191A"/>
    <w:rsid w:val="3DDD0555"/>
    <w:rsid w:val="3E3D6B21"/>
    <w:rsid w:val="3EFB1312"/>
    <w:rsid w:val="3F165204"/>
    <w:rsid w:val="3F36616F"/>
    <w:rsid w:val="3F4A149E"/>
    <w:rsid w:val="401069C0"/>
    <w:rsid w:val="40384169"/>
    <w:rsid w:val="40C04F61"/>
    <w:rsid w:val="40D20119"/>
    <w:rsid w:val="41140732"/>
    <w:rsid w:val="41410DFB"/>
    <w:rsid w:val="4143222A"/>
    <w:rsid w:val="415E19AD"/>
    <w:rsid w:val="41A17163"/>
    <w:rsid w:val="41FF003C"/>
    <w:rsid w:val="42481D24"/>
    <w:rsid w:val="42E307D5"/>
    <w:rsid w:val="43074DCD"/>
    <w:rsid w:val="436862BB"/>
    <w:rsid w:val="43C240C4"/>
    <w:rsid w:val="43C95804"/>
    <w:rsid w:val="44A8161A"/>
    <w:rsid w:val="44D97CBE"/>
    <w:rsid w:val="45275A63"/>
    <w:rsid w:val="456145E1"/>
    <w:rsid w:val="45A07372"/>
    <w:rsid w:val="45A8769B"/>
    <w:rsid w:val="45B226FE"/>
    <w:rsid w:val="45BB73CE"/>
    <w:rsid w:val="462B5C0F"/>
    <w:rsid w:val="463D2113"/>
    <w:rsid w:val="467852BF"/>
    <w:rsid w:val="46BA7686"/>
    <w:rsid w:val="46CB7650"/>
    <w:rsid w:val="46EB4F16"/>
    <w:rsid w:val="46FD4F35"/>
    <w:rsid w:val="474433F3"/>
    <w:rsid w:val="479B74B7"/>
    <w:rsid w:val="47AE48BB"/>
    <w:rsid w:val="47DB5B06"/>
    <w:rsid w:val="48821866"/>
    <w:rsid w:val="49592872"/>
    <w:rsid w:val="4959564B"/>
    <w:rsid w:val="499E2979"/>
    <w:rsid w:val="49B43BDA"/>
    <w:rsid w:val="4A066CF3"/>
    <w:rsid w:val="4A240117"/>
    <w:rsid w:val="4A412B8E"/>
    <w:rsid w:val="4A7372A2"/>
    <w:rsid w:val="4B287E0E"/>
    <w:rsid w:val="4B351FF6"/>
    <w:rsid w:val="4CD81595"/>
    <w:rsid w:val="4D64034B"/>
    <w:rsid w:val="4D674487"/>
    <w:rsid w:val="4E1A1802"/>
    <w:rsid w:val="4E514888"/>
    <w:rsid w:val="4F670E42"/>
    <w:rsid w:val="4F807446"/>
    <w:rsid w:val="4FB319BC"/>
    <w:rsid w:val="4FB37368"/>
    <w:rsid w:val="4FDC68BF"/>
    <w:rsid w:val="507B7E86"/>
    <w:rsid w:val="50970A38"/>
    <w:rsid w:val="509A4B17"/>
    <w:rsid w:val="50BD3754"/>
    <w:rsid w:val="518B1F5A"/>
    <w:rsid w:val="529904C4"/>
    <w:rsid w:val="52BF57B6"/>
    <w:rsid w:val="540A150E"/>
    <w:rsid w:val="54330A77"/>
    <w:rsid w:val="54662BFB"/>
    <w:rsid w:val="5492415B"/>
    <w:rsid w:val="54ED6E78"/>
    <w:rsid w:val="556E7FB9"/>
    <w:rsid w:val="560E7589"/>
    <w:rsid w:val="562B4FB5"/>
    <w:rsid w:val="56A63783"/>
    <w:rsid w:val="56AA685F"/>
    <w:rsid w:val="5759130A"/>
    <w:rsid w:val="581A4A24"/>
    <w:rsid w:val="593B6ED3"/>
    <w:rsid w:val="596450EC"/>
    <w:rsid w:val="5B01367D"/>
    <w:rsid w:val="5B341957"/>
    <w:rsid w:val="5B345801"/>
    <w:rsid w:val="5B520633"/>
    <w:rsid w:val="5BB32171"/>
    <w:rsid w:val="5C351FE3"/>
    <w:rsid w:val="5CAC586B"/>
    <w:rsid w:val="5DB42C29"/>
    <w:rsid w:val="5DF424BD"/>
    <w:rsid w:val="5EEC56B8"/>
    <w:rsid w:val="60B82A30"/>
    <w:rsid w:val="60BD7B72"/>
    <w:rsid w:val="60CB51B7"/>
    <w:rsid w:val="60DA29A7"/>
    <w:rsid w:val="60E57DDC"/>
    <w:rsid w:val="6171096B"/>
    <w:rsid w:val="61A84853"/>
    <w:rsid w:val="61BA4586"/>
    <w:rsid w:val="6244216B"/>
    <w:rsid w:val="643D0B97"/>
    <w:rsid w:val="648F3AA8"/>
    <w:rsid w:val="64B50DD9"/>
    <w:rsid w:val="64CB418D"/>
    <w:rsid w:val="65390D67"/>
    <w:rsid w:val="656B4F16"/>
    <w:rsid w:val="65A025C6"/>
    <w:rsid w:val="66045A33"/>
    <w:rsid w:val="66836A0F"/>
    <w:rsid w:val="67197037"/>
    <w:rsid w:val="679A12F1"/>
    <w:rsid w:val="67B14F7E"/>
    <w:rsid w:val="67D32CF6"/>
    <w:rsid w:val="689D5F0A"/>
    <w:rsid w:val="69715E72"/>
    <w:rsid w:val="69F04FE9"/>
    <w:rsid w:val="6A7379C8"/>
    <w:rsid w:val="6AFD04A3"/>
    <w:rsid w:val="6B821302"/>
    <w:rsid w:val="6BA96010"/>
    <w:rsid w:val="6BBC6DAF"/>
    <w:rsid w:val="6BC2133E"/>
    <w:rsid w:val="6C7A7A8A"/>
    <w:rsid w:val="6C7F114A"/>
    <w:rsid w:val="6CD97FB6"/>
    <w:rsid w:val="6D402B58"/>
    <w:rsid w:val="6DB84646"/>
    <w:rsid w:val="6E0F6DF4"/>
    <w:rsid w:val="6E461A07"/>
    <w:rsid w:val="6E654247"/>
    <w:rsid w:val="6ED529FF"/>
    <w:rsid w:val="6F8A37EA"/>
    <w:rsid w:val="6FE32A4B"/>
    <w:rsid w:val="708D55C2"/>
    <w:rsid w:val="70A035EE"/>
    <w:rsid w:val="718A2024"/>
    <w:rsid w:val="7193609C"/>
    <w:rsid w:val="71FB7464"/>
    <w:rsid w:val="72A03324"/>
    <w:rsid w:val="7363682B"/>
    <w:rsid w:val="74222EF1"/>
    <w:rsid w:val="742D11AC"/>
    <w:rsid w:val="74980757"/>
    <w:rsid w:val="758959F8"/>
    <w:rsid w:val="75A10B1A"/>
    <w:rsid w:val="75B72E5F"/>
    <w:rsid w:val="75CE4222"/>
    <w:rsid w:val="76426BCC"/>
    <w:rsid w:val="76DB1BCF"/>
    <w:rsid w:val="76E605B0"/>
    <w:rsid w:val="76FE532B"/>
    <w:rsid w:val="77727FD1"/>
    <w:rsid w:val="778A372C"/>
    <w:rsid w:val="78503EA4"/>
    <w:rsid w:val="78984B30"/>
    <w:rsid w:val="78F94B12"/>
    <w:rsid w:val="791E398B"/>
    <w:rsid w:val="79515378"/>
    <w:rsid w:val="795A5FDB"/>
    <w:rsid w:val="795B4EF4"/>
    <w:rsid w:val="79740548"/>
    <w:rsid w:val="798C7765"/>
    <w:rsid w:val="7A170370"/>
    <w:rsid w:val="7AA42A3D"/>
    <w:rsid w:val="7AF550D6"/>
    <w:rsid w:val="7B0C77A9"/>
    <w:rsid w:val="7B974FD9"/>
    <w:rsid w:val="7BBB5009"/>
    <w:rsid w:val="7C8B492E"/>
    <w:rsid w:val="7D542397"/>
    <w:rsid w:val="7D61485B"/>
    <w:rsid w:val="7D9F2140"/>
    <w:rsid w:val="7DDF11A4"/>
    <w:rsid w:val="7DEF5C83"/>
    <w:rsid w:val="7EE9076C"/>
    <w:rsid w:val="7F3F4682"/>
    <w:rsid w:val="7F782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1"/>
      <w:szCs w:val="22"/>
      <w:lang w:val="en-US" w:eastAsia="zh-CN" w:bidi="ar-SA"/>
    </w:rPr>
  </w:style>
  <w:style w:type="paragraph" w:styleId="3">
    <w:name w:val="heading 1"/>
    <w:basedOn w:val="1"/>
    <w:next w:val="1"/>
    <w:link w:val="36"/>
    <w:qFormat/>
    <w:uiPriority w:val="9"/>
    <w:pPr>
      <w:keepNext/>
      <w:keepLines/>
      <w:numPr>
        <w:ilvl w:val="0"/>
        <w:numId w:val="1"/>
      </w:numPr>
      <w:spacing w:beforeLines="100" w:afterLines="100" w:line="240" w:lineRule="auto"/>
      <w:outlineLvl w:val="0"/>
    </w:pPr>
    <w:rPr>
      <w:rFonts w:eastAsia="黑体"/>
      <w:bCs/>
      <w:kern w:val="44"/>
      <w:szCs w:val="44"/>
    </w:rPr>
  </w:style>
  <w:style w:type="paragraph" w:styleId="4">
    <w:name w:val="heading 2"/>
    <w:basedOn w:val="1"/>
    <w:next w:val="1"/>
    <w:link w:val="37"/>
    <w:unhideWhenUsed/>
    <w:qFormat/>
    <w:uiPriority w:val="9"/>
    <w:pPr>
      <w:keepNext/>
      <w:keepLines/>
      <w:numPr>
        <w:ilvl w:val="1"/>
        <w:numId w:val="1"/>
      </w:numPr>
      <w:spacing w:beforeLines="50" w:afterLines="50" w:line="240" w:lineRule="auto"/>
      <w:outlineLvl w:val="1"/>
    </w:pPr>
    <w:rPr>
      <w:rFonts w:eastAsia="黑体" w:cstheme="majorBidi"/>
      <w:bCs/>
      <w:szCs w:val="32"/>
    </w:rPr>
  </w:style>
  <w:style w:type="paragraph" w:styleId="5">
    <w:name w:val="heading 3"/>
    <w:basedOn w:val="1"/>
    <w:next w:val="1"/>
    <w:link w:val="38"/>
    <w:unhideWhenUsed/>
    <w:qFormat/>
    <w:uiPriority w:val="9"/>
    <w:pPr>
      <w:keepNext/>
      <w:keepLines/>
      <w:numPr>
        <w:ilvl w:val="2"/>
        <w:numId w:val="1"/>
      </w:numPr>
      <w:spacing w:beforeLines="50" w:afterLines="50" w:line="240" w:lineRule="auto"/>
      <w:outlineLvl w:val="2"/>
    </w:pPr>
    <w:rPr>
      <w:rFonts w:eastAsia="黑体"/>
      <w:bCs/>
      <w:szCs w:val="32"/>
    </w:rPr>
  </w:style>
  <w:style w:type="paragraph" w:styleId="6">
    <w:name w:val="heading 4"/>
    <w:basedOn w:val="1"/>
    <w:next w:val="1"/>
    <w:link w:val="39"/>
    <w:unhideWhenUsed/>
    <w:qFormat/>
    <w:uiPriority w:val="9"/>
    <w:pPr>
      <w:keepNext/>
      <w:keepLines/>
      <w:numPr>
        <w:ilvl w:val="3"/>
        <w:numId w:val="2"/>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0"/>
    <w:unhideWhenUsed/>
    <w:qFormat/>
    <w:uiPriority w:val="9"/>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41"/>
    <w:unhideWhenUsed/>
    <w:qFormat/>
    <w:uiPriority w:val="9"/>
    <w:pPr>
      <w:keepNext/>
      <w:keepLines/>
      <w:numPr>
        <w:ilvl w:val="5"/>
        <w:numId w:val="2"/>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42"/>
    <w:unhideWhenUsed/>
    <w:qFormat/>
    <w:uiPriority w:val="9"/>
    <w:pPr>
      <w:keepNext/>
      <w:keepLines/>
      <w:numPr>
        <w:ilvl w:val="6"/>
        <w:numId w:val="2"/>
      </w:numPr>
      <w:spacing w:before="240" w:after="64" w:line="320" w:lineRule="auto"/>
      <w:outlineLvl w:val="6"/>
    </w:pPr>
    <w:rPr>
      <w:b/>
      <w:bCs/>
      <w:sz w:val="24"/>
      <w:szCs w:val="24"/>
    </w:rPr>
  </w:style>
  <w:style w:type="paragraph" w:styleId="10">
    <w:name w:val="heading 8"/>
    <w:basedOn w:val="1"/>
    <w:next w:val="1"/>
    <w:link w:val="43"/>
    <w:semiHidden/>
    <w:unhideWhenUsed/>
    <w:qFormat/>
    <w:uiPriority w:val="9"/>
    <w:pPr>
      <w:keepNext/>
      <w:keepLines/>
      <w:numPr>
        <w:ilvl w:val="7"/>
        <w:numId w:val="2"/>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44"/>
    <w:semiHidden/>
    <w:unhideWhenUsed/>
    <w:qFormat/>
    <w:uiPriority w:val="9"/>
    <w:pPr>
      <w:keepNext/>
      <w:keepLines/>
      <w:numPr>
        <w:ilvl w:val="8"/>
        <w:numId w:val="2"/>
      </w:numPr>
      <w:spacing w:before="240" w:after="64" w:line="320" w:lineRule="auto"/>
      <w:outlineLvl w:val="8"/>
    </w:pPr>
    <w:rPr>
      <w:rFonts w:asciiTheme="majorHAnsi" w:hAnsiTheme="majorHAnsi" w:eastAsiaTheme="majorEastAsia" w:cstheme="majorBidi"/>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3"/>
    <w:unhideWhenUsed/>
    <w:qFormat/>
    <w:uiPriority w:val="99"/>
    <w:pPr>
      <w:spacing w:after="120"/>
      <w:ind w:left="420" w:leftChars="200"/>
    </w:pPr>
  </w:style>
  <w:style w:type="paragraph" w:styleId="12">
    <w:name w:val="toc 7"/>
    <w:basedOn w:val="1"/>
    <w:next w:val="1"/>
    <w:unhideWhenUsed/>
    <w:qFormat/>
    <w:uiPriority w:val="39"/>
    <w:pPr>
      <w:spacing w:line="240" w:lineRule="auto"/>
      <w:ind w:left="2520" w:leftChars="1200"/>
    </w:pPr>
    <w:rPr>
      <w:rFonts w:asciiTheme="minorHAnsi" w:hAnsiTheme="minorHAnsi" w:eastAsiaTheme="minorEastAsia"/>
    </w:rPr>
  </w:style>
  <w:style w:type="paragraph" w:styleId="13">
    <w:name w:val="caption"/>
    <w:basedOn w:val="1"/>
    <w:next w:val="1"/>
    <w:unhideWhenUsed/>
    <w:qFormat/>
    <w:uiPriority w:val="35"/>
    <w:rPr>
      <w:rFonts w:eastAsia="黑体" w:cstheme="majorBidi"/>
      <w:szCs w:val="20"/>
    </w:rPr>
  </w:style>
  <w:style w:type="paragraph" w:styleId="14">
    <w:name w:val="Document Map"/>
    <w:basedOn w:val="1"/>
    <w:link w:val="118"/>
    <w:semiHidden/>
    <w:unhideWhenUsed/>
    <w:qFormat/>
    <w:uiPriority w:val="99"/>
    <w:rPr>
      <w:rFonts w:ascii="宋体"/>
      <w:sz w:val="18"/>
      <w:szCs w:val="18"/>
    </w:rPr>
  </w:style>
  <w:style w:type="paragraph" w:styleId="15">
    <w:name w:val="annotation text"/>
    <w:basedOn w:val="1"/>
    <w:link w:val="119"/>
    <w:qFormat/>
    <w:uiPriority w:val="0"/>
    <w:pPr>
      <w:jc w:val="left"/>
    </w:pPr>
  </w:style>
  <w:style w:type="paragraph" w:styleId="16">
    <w:name w:val="Body Text"/>
    <w:basedOn w:val="1"/>
    <w:qFormat/>
    <w:uiPriority w:val="0"/>
    <w:pPr>
      <w:numPr>
        <w:ilvl w:val="2"/>
        <w:numId w:val="3"/>
      </w:numPr>
      <w:tabs>
        <w:tab w:val="left" w:pos="432"/>
      </w:tabs>
    </w:pPr>
    <w:rPr>
      <w:szCs w:val="24"/>
    </w:rPr>
  </w:style>
  <w:style w:type="paragraph" w:styleId="17">
    <w:name w:val="toc 5"/>
    <w:basedOn w:val="1"/>
    <w:next w:val="1"/>
    <w:unhideWhenUsed/>
    <w:qFormat/>
    <w:uiPriority w:val="39"/>
    <w:pPr>
      <w:spacing w:line="240" w:lineRule="auto"/>
      <w:ind w:left="1680" w:leftChars="800"/>
    </w:pPr>
    <w:rPr>
      <w:rFonts w:asciiTheme="minorHAnsi" w:hAnsiTheme="minorHAnsi" w:eastAsiaTheme="minorEastAsia"/>
    </w:rPr>
  </w:style>
  <w:style w:type="paragraph" w:styleId="18">
    <w:name w:val="toc 3"/>
    <w:basedOn w:val="1"/>
    <w:next w:val="1"/>
    <w:unhideWhenUsed/>
    <w:qFormat/>
    <w:uiPriority w:val="39"/>
    <w:pPr>
      <w:ind w:left="840" w:leftChars="400"/>
    </w:pPr>
  </w:style>
  <w:style w:type="paragraph" w:styleId="19">
    <w:name w:val="toc 8"/>
    <w:basedOn w:val="1"/>
    <w:next w:val="1"/>
    <w:unhideWhenUsed/>
    <w:qFormat/>
    <w:uiPriority w:val="39"/>
    <w:pPr>
      <w:spacing w:line="240" w:lineRule="auto"/>
      <w:ind w:left="2940" w:leftChars="1400"/>
    </w:pPr>
    <w:rPr>
      <w:rFonts w:asciiTheme="minorHAnsi" w:hAnsiTheme="minorHAnsi" w:eastAsiaTheme="minorEastAsia"/>
    </w:rPr>
  </w:style>
  <w:style w:type="paragraph" w:styleId="20">
    <w:name w:val="Date"/>
    <w:basedOn w:val="1"/>
    <w:next w:val="1"/>
    <w:link w:val="121"/>
    <w:semiHidden/>
    <w:unhideWhenUsed/>
    <w:qFormat/>
    <w:uiPriority w:val="99"/>
    <w:pPr>
      <w:ind w:left="100" w:leftChars="2500"/>
    </w:pPr>
  </w:style>
  <w:style w:type="paragraph" w:styleId="21">
    <w:name w:val="Balloon Text"/>
    <w:basedOn w:val="1"/>
    <w:link w:val="71"/>
    <w:semiHidden/>
    <w:unhideWhenUsed/>
    <w:qFormat/>
    <w:uiPriority w:val="99"/>
    <w:pPr>
      <w:spacing w:line="240" w:lineRule="auto"/>
    </w:pPr>
    <w:rPr>
      <w:sz w:val="18"/>
      <w:szCs w:val="18"/>
    </w:rPr>
  </w:style>
  <w:style w:type="paragraph" w:styleId="22">
    <w:name w:val="footer"/>
    <w:basedOn w:val="1"/>
    <w:link w:val="47"/>
    <w:unhideWhenUsed/>
    <w:qFormat/>
    <w:uiPriority w:val="99"/>
    <w:pPr>
      <w:tabs>
        <w:tab w:val="center" w:pos="4153"/>
        <w:tab w:val="right" w:pos="8306"/>
      </w:tabs>
      <w:snapToGrid w:val="0"/>
      <w:spacing w:line="240" w:lineRule="auto"/>
      <w:jc w:val="left"/>
    </w:pPr>
    <w:rPr>
      <w:sz w:val="18"/>
      <w:szCs w:val="18"/>
    </w:rPr>
  </w:style>
  <w:style w:type="paragraph" w:styleId="23">
    <w:name w:val="header"/>
    <w:basedOn w:val="1"/>
    <w:link w:val="4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spacing w:line="240" w:lineRule="auto"/>
      <w:ind w:left="1260" w:leftChars="600"/>
    </w:pPr>
    <w:rPr>
      <w:rFonts w:asciiTheme="minorHAnsi" w:hAnsiTheme="minorHAnsi" w:eastAsiaTheme="minorEastAsia"/>
    </w:rPr>
  </w:style>
  <w:style w:type="paragraph" w:styleId="26">
    <w:name w:val="toc 6"/>
    <w:basedOn w:val="1"/>
    <w:next w:val="1"/>
    <w:unhideWhenUsed/>
    <w:qFormat/>
    <w:uiPriority w:val="39"/>
    <w:pPr>
      <w:spacing w:line="240" w:lineRule="auto"/>
      <w:ind w:left="2100" w:leftChars="1000"/>
    </w:pPr>
    <w:rPr>
      <w:rFonts w:asciiTheme="minorHAnsi" w:hAnsiTheme="minorHAnsi" w:eastAsiaTheme="minorEastAsia"/>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spacing w:line="240" w:lineRule="auto"/>
      <w:ind w:left="3360" w:leftChars="1600"/>
    </w:pPr>
    <w:rPr>
      <w:rFonts w:asciiTheme="minorHAnsi" w:hAnsiTheme="minorHAnsi" w:eastAsiaTheme="minorEastAsia"/>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5"/>
    <w:next w:val="15"/>
    <w:link w:val="120"/>
    <w:semiHidden/>
    <w:unhideWhenUsed/>
    <w:qFormat/>
    <w:uiPriority w:val="99"/>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Hyperlink"/>
    <w:basedOn w:val="33"/>
    <w:unhideWhenUsed/>
    <w:qFormat/>
    <w:uiPriority w:val="99"/>
    <w:rPr>
      <w:color w:val="0563C1" w:themeColor="hyperlink"/>
      <w:u w:val="single"/>
      <w14:textFill>
        <w14:solidFill>
          <w14:schemeClr w14:val="hlink"/>
        </w14:solidFill>
      </w14:textFill>
    </w:rPr>
  </w:style>
  <w:style w:type="character" w:styleId="35">
    <w:name w:val="annotation reference"/>
    <w:basedOn w:val="33"/>
    <w:semiHidden/>
    <w:unhideWhenUsed/>
    <w:qFormat/>
    <w:uiPriority w:val="99"/>
    <w:rPr>
      <w:sz w:val="21"/>
      <w:szCs w:val="21"/>
    </w:rPr>
  </w:style>
  <w:style w:type="character" w:customStyle="1" w:styleId="36">
    <w:name w:val="标题 1 Char"/>
    <w:basedOn w:val="33"/>
    <w:link w:val="3"/>
    <w:qFormat/>
    <w:uiPriority w:val="9"/>
    <w:rPr>
      <w:rFonts w:eastAsia="黑体" w:cstheme="minorBidi"/>
      <w:bCs/>
      <w:kern w:val="44"/>
      <w:sz w:val="21"/>
      <w:szCs w:val="44"/>
    </w:rPr>
  </w:style>
  <w:style w:type="character" w:customStyle="1" w:styleId="37">
    <w:name w:val="标题 2 Char"/>
    <w:basedOn w:val="33"/>
    <w:link w:val="4"/>
    <w:qFormat/>
    <w:uiPriority w:val="9"/>
    <w:rPr>
      <w:rFonts w:eastAsia="黑体" w:cstheme="majorBidi"/>
      <w:bCs/>
      <w:kern w:val="2"/>
      <w:sz w:val="21"/>
      <w:szCs w:val="32"/>
    </w:rPr>
  </w:style>
  <w:style w:type="character" w:customStyle="1" w:styleId="38">
    <w:name w:val="标题 3 Char"/>
    <w:basedOn w:val="33"/>
    <w:link w:val="5"/>
    <w:qFormat/>
    <w:uiPriority w:val="9"/>
    <w:rPr>
      <w:rFonts w:eastAsia="黑体" w:cstheme="minorBidi"/>
      <w:bCs/>
      <w:kern w:val="2"/>
      <w:sz w:val="21"/>
      <w:szCs w:val="32"/>
    </w:rPr>
  </w:style>
  <w:style w:type="character" w:customStyle="1" w:styleId="39">
    <w:name w:val="标题 4 Char"/>
    <w:basedOn w:val="33"/>
    <w:link w:val="6"/>
    <w:qFormat/>
    <w:uiPriority w:val="9"/>
    <w:rPr>
      <w:rFonts w:asciiTheme="majorHAnsi" w:hAnsiTheme="majorHAnsi" w:eastAsiaTheme="majorEastAsia" w:cstheme="majorBidi"/>
      <w:b/>
      <w:bCs/>
      <w:kern w:val="2"/>
      <w:sz w:val="28"/>
      <w:szCs w:val="28"/>
    </w:rPr>
  </w:style>
  <w:style w:type="character" w:customStyle="1" w:styleId="40">
    <w:name w:val="标题 5 Char"/>
    <w:basedOn w:val="33"/>
    <w:link w:val="7"/>
    <w:qFormat/>
    <w:uiPriority w:val="9"/>
    <w:rPr>
      <w:rFonts w:cstheme="minorBidi"/>
      <w:b/>
      <w:bCs/>
      <w:kern w:val="2"/>
      <w:sz w:val="28"/>
      <w:szCs w:val="28"/>
    </w:rPr>
  </w:style>
  <w:style w:type="character" w:customStyle="1" w:styleId="41">
    <w:name w:val="标题 6 Char"/>
    <w:basedOn w:val="33"/>
    <w:link w:val="8"/>
    <w:qFormat/>
    <w:uiPriority w:val="9"/>
    <w:rPr>
      <w:rFonts w:asciiTheme="majorHAnsi" w:hAnsiTheme="majorHAnsi" w:eastAsiaTheme="majorEastAsia" w:cstheme="majorBidi"/>
      <w:b/>
      <w:bCs/>
      <w:kern w:val="2"/>
      <w:sz w:val="24"/>
      <w:szCs w:val="24"/>
    </w:rPr>
  </w:style>
  <w:style w:type="character" w:customStyle="1" w:styleId="42">
    <w:name w:val="标题 7 Char"/>
    <w:basedOn w:val="33"/>
    <w:link w:val="9"/>
    <w:qFormat/>
    <w:uiPriority w:val="9"/>
    <w:rPr>
      <w:rFonts w:cstheme="minorBidi"/>
      <w:b/>
      <w:bCs/>
      <w:kern w:val="2"/>
      <w:sz w:val="24"/>
      <w:szCs w:val="24"/>
    </w:rPr>
  </w:style>
  <w:style w:type="character" w:customStyle="1" w:styleId="43">
    <w:name w:val="标题 8 Char"/>
    <w:basedOn w:val="33"/>
    <w:link w:val="10"/>
    <w:semiHidden/>
    <w:qFormat/>
    <w:uiPriority w:val="9"/>
    <w:rPr>
      <w:rFonts w:asciiTheme="majorHAnsi" w:hAnsiTheme="majorHAnsi" w:eastAsiaTheme="majorEastAsia" w:cstheme="majorBidi"/>
      <w:kern w:val="2"/>
      <w:sz w:val="24"/>
      <w:szCs w:val="24"/>
    </w:rPr>
  </w:style>
  <w:style w:type="character" w:customStyle="1" w:styleId="44">
    <w:name w:val="标题 9 Char"/>
    <w:basedOn w:val="33"/>
    <w:link w:val="11"/>
    <w:semiHidden/>
    <w:qFormat/>
    <w:uiPriority w:val="9"/>
    <w:rPr>
      <w:rFonts w:asciiTheme="majorHAnsi" w:hAnsiTheme="majorHAnsi" w:eastAsiaTheme="majorEastAsia" w:cstheme="majorBidi"/>
      <w:kern w:val="2"/>
      <w:sz w:val="21"/>
      <w:szCs w:val="21"/>
    </w:rPr>
  </w:style>
  <w:style w:type="paragraph" w:styleId="45">
    <w:name w:val="List Paragraph"/>
    <w:basedOn w:val="1"/>
    <w:link w:val="57"/>
    <w:qFormat/>
    <w:uiPriority w:val="34"/>
  </w:style>
  <w:style w:type="character" w:customStyle="1" w:styleId="46">
    <w:name w:val="页眉 Char"/>
    <w:basedOn w:val="33"/>
    <w:link w:val="23"/>
    <w:qFormat/>
    <w:uiPriority w:val="99"/>
    <w:rPr>
      <w:rFonts w:ascii="Times New Roman" w:hAnsi="Times New Roman" w:eastAsia="宋体"/>
      <w:sz w:val="18"/>
      <w:szCs w:val="18"/>
    </w:rPr>
  </w:style>
  <w:style w:type="character" w:customStyle="1" w:styleId="47">
    <w:name w:val="页脚 Char"/>
    <w:basedOn w:val="33"/>
    <w:link w:val="22"/>
    <w:qFormat/>
    <w:uiPriority w:val="99"/>
    <w:rPr>
      <w:rFonts w:ascii="Times New Roman" w:hAnsi="Times New Roman" w:eastAsia="宋体"/>
      <w:sz w:val="18"/>
      <w:szCs w:val="18"/>
    </w:rPr>
  </w:style>
  <w:style w:type="character" w:customStyle="1" w:styleId="48">
    <w:name w:val="AMEquationSection"/>
    <w:basedOn w:val="33"/>
    <w:qFormat/>
    <w:uiPriority w:val="0"/>
    <w:rPr>
      <w:rFonts w:eastAsia="黑体" w:cs="Times New Roman"/>
      <w:color w:val="FF0000"/>
      <w:sz w:val="32"/>
      <w:szCs w:val="32"/>
    </w:rPr>
  </w:style>
  <w:style w:type="paragraph" w:customStyle="1" w:styleId="49">
    <w:name w:val="AMDisplayEquation"/>
    <w:basedOn w:val="1"/>
    <w:next w:val="1"/>
    <w:link w:val="50"/>
    <w:qFormat/>
    <w:uiPriority w:val="0"/>
    <w:pPr>
      <w:tabs>
        <w:tab w:val="center" w:pos="4160"/>
        <w:tab w:val="right" w:pos="8300"/>
      </w:tabs>
      <w:spacing w:beforeLines="50" w:afterLines="50" w:line="240" w:lineRule="auto"/>
    </w:pPr>
  </w:style>
  <w:style w:type="character" w:customStyle="1" w:styleId="50">
    <w:name w:val="AMDisplayEquation 字符"/>
    <w:basedOn w:val="33"/>
    <w:link w:val="49"/>
    <w:qFormat/>
    <w:uiPriority w:val="0"/>
    <w:rPr>
      <w:rFonts w:ascii="Times New Roman" w:hAnsi="Times New Roman" w:eastAsia="宋体"/>
    </w:rPr>
  </w:style>
  <w:style w:type="paragraph" w:customStyle="1" w:styleId="51">
    <w:name w:val="术语"/>
    <w:basedOn w:val="5"/>
    <w:link w:val="53"/>
    <w:qFormat/>
    <w:uiPriority w:val="0"/>
  </w:style>
  <w:style w:type="paragraph" w:customStyle="1" w:styleId="52">
    <w:name w:val="条文三级"/>
    <w:basedOn w:val="5"/>
    <w:next w:val="1"/>
    <w:link w:val="55"/>
    <w:qFormat/>
    <w:uiPriority w:val="0"/>
    <w:rPr>
      <w:rFonts w:eastAsia="宋体" w:cs="Times New Roman"/>
    </w:rPr>
  </w:style>
  <w:style w:type="character" w:customStyle="1" w:styleId="53">
    <w:name w:val="术语 字符"/>
    <w:basedOn w:val="38"/>
    <w:link w:val="51"/>
    <w:qFormat/>
    <w:uiPriority w:val="0"/>
    <w:rPr>
      <w:rFonts w:eastAsia="黑体" w:cstheme="minorBidi"/>
      <w:kern w:val="2"/>
      <w:sz w:val="21"/>
      <w:szCs w:val="32"/>
    </w:rPr>
  </w:style>
  <w:style w:type="paragraph" w:customStyle="1" w:styleId="54">
    <w:name w:val="附录术语"/>
    <w:basedOn w:val="45"/>
    <w:link w:val="58"/>
    <w:qFormat/>
    <w:uiPriority w:val="0"/>
    <w:pPr>
      <w:numPr>
        <w:ilvl w:val="1"/>
        <w:numId w:val="4"/>
      </w:numPr>
      <w:spacing w:beforeLines="50" w:afterLines="50" w:line="240" w:lineRule="auto"/>
      <w:ind w:left="0" w:firstLine="0"/>
    </w:pPr>
    <w:rPr>
      <w:rFonts w:ascii="黑体" w:hAnsi="黑体" w:eastAsia="黑体"/>
    </w:rPr>
  </w:style>
  <w:style w:type="character" w:customStyle="1" w:styleId="55">
    <w:name w:val="条文 字符"/>
    <w:basedOn w:val="38"/>
    <w:link w:val="52"/>
    <w:qFormat/>
    <w:uiPriority w:val="0"/>
    <w:rPr>
      <w:rFonts w:eastAsia="黑体" w:cstheme="minorBidi"/>
      <w:kern w:val="2"/>
      <w:sz w:val="21"/>
      <w:szCs w:val="32"/>
    </w:rPr>
  </w:style>
  <w:style w:type="paragraph" w:customStyle="1" w:styleId="56">
    <w:name w:val="附录条目"/>
    <w:basedOn w:val="54"/>
    <w:next w:val="1"/>
    <w:link w:val="59"/>
    <w:qFormat/>
    <w:uiPriority w:val="0"/>
    <w:pPr>
      <w:ind w:left="576" w:hanging="576"/>
    </w:pPr>
  </w:style>
  <w:style w:type="character" w:customStyle="1" w:styleId="57">
    <w:name w:val="列出段落 Char"/>
    <w:basedOn w:val="33"/>
    <w:link w:val="45"/>
    <w:qFormat/>
    <w:uiPriority w:val="34"/>
    <w:rPr>
      <w:rFonts w:ascii="Times New Roman" w:hAnsi="Times New Roman" w:eastAsia="宋体"/>
    </w:rPr>
  </w:style>
  <w:style w:type="character" w:customStyle="1" w:styleId="58">
    <w:name w:val="附录术语 字符"/>
    <w:basedOn w:val="57"/>
    <w:link w:val="54"/>
    <w:qFormat/>
    <w:uiPriority w:val="0"/>
    <w:rPr>
      <w:rFonts w:ascii="黑体" w:hAnsi="黑体" w:eastAsia="黑体" w:cstheme="minorBidi"/>
      <w:kern w:val="2"/>
      <w:sz w:val="21"/>
      <w:szCs w:val="22"/>
    </w:rPr>
  </w:style>
  <w:style w:type="character" w:customStyle="1" w:styleId="59">
    <w:name w:val="附录条目 字符"/>
    <w:basedOn w:val="58"/>
    <w:link w:val="56"/>
    <w:qFormat/>
    <w:uiPriority w:val="0"/>
    <w:rPr>
      <w:rFonts w:ascii="黑体" w:hAnsi="黑体" w:eastAsia="黑体" w:cstheme="minorBidi"/>
      <w:kern w:val="2"/>
      <w:sz w:val="21"/>
      <w:szCs w:val="22"/>
    </w:rPr>
  </w:style>
  <w:style w:type="paragraph" w:customStyle="1" w:styleId="60">
    <w:name w:val="款"/>
    <w:basedOn w:val="1"/>
    <w:qFormat/>
    <w:uiPriority w:val="0"/>
    <w:pPr>
      <w:adjustRightInd w:val="0"/>
      <w:snapToGrid w:val="0"/>
      <w:ind w:firstLine="200" w:firstLineChars="200"/>
    </w:pPr>
    <w:rPr>
      <w:rFonts w:ascii="Calibri" w:hAnsi="Calibri" w:eastAsia="华文仿宋"/>
      <w:sz w:val="24"/>
    </w:rPr>
  </w:style>
  <w:style w:type="paragraph" w:customStyle="1" w:styleId="61">
    <w:name w:val="图表名"/>
    <w:basedOn w:val="1"/>
    <w:qFormat/>
    <w:uiPriority w:val="0"/>
    <w:pPr>
      <w:adjustRightInd w:val="0"/>
      <w:snapToGrid w:val="0"/>
      <w:spacing w:line="340" w:lineRule="exact"/>
      <w:jc w:val="center"/>
    </w:pPr>
    <w:rPr>
      <w:b/>
      <w:szCs w:val="21"/>
    </w:rPr>
  </w:style>
  <w:style w:type="paragraph" w:customStyle="1" w:styleId="62">
    <w:name w:val="表"/>
    <w:basedOn w:val="1"/>
    <w:qFormat/>
    <w:uiPriority w:val="1"/>
    <w:pPr>
      <w:adjustRightInd w:val="0"/>
      <w:snapToGrid w:val="0"/>
      <w:spacing w:before="60" w:after="60"/>
      <w:jc w:val="center"/>
    </w:pPr>
  </w:style>
  <w:style w:type="paragraph" w:customStyle="1" w:styleId="63">
    <w:name w:val="节"/>
    <w:basedOn w:val="1"/>
    <w:qFormat/>
    <w:uiPriority w:val="0"/>
    <w:pPr>
      <w:numPr>
        <w:ilvl w:val="1"/>
        <w:numId w:val="5"/>
      </w:numPr>
      <w:spacing w:beforeLines="100" w:afterLines="100" w:line="300" w:lineRule="auto"/>
      <w:jc w:val="center"/>
      <w:outlineLvl w:val="1"/>
    </w:pPr>
    <w:rPr>
      <w:rFonts w:ascii="Calibri" w:hAnsi="Calibri" w:eastAsia="华文仿宋"/>
      <w:b/>
      <w:sz w:val="24"/>
    </w:rPr>
  </w:style>
  <w:style w:type="paragraph" w:customStyle="1" w:styleId="64">
    <w:name w:val="图"/>
    <w:basedOn w:val="65"/>
    <w:qFormat/>
    <w:uiPriority w:val="0"/>
    <w:pPr>
      <w:tabs>
        <w:tab w:val="left" w:pos="432"/>
      </w:tabs>
      <w:adjustRightInd w:val="0"/>
      <w:snapToGrid w:val="0"/>
      <w:spacing w:line="240" w:lineRule="auto"/>
      <w:jc w:val="center"/>
    </w:pPr>
  </w:style>
  <w:style w:type="paragraph" w:customStyle="1" w:styleId="65">
    <w:name w:val="条文说明"/>
    <w:basedOn w:val="16"/>
    <w:qFormat/>
    <w:uiPriority w:val="0"/>
    <w:pPr>
      <w:numPr>
        <w:ilvl w:val="0"/>
        <w:numId w:val="0"/>
      </w:numPr>
    </w:pPr>
    <w:rPr>
      <w:rFonts w:ascii="Calibri" w:hAnsi="Calibri" w:eastAsia="华文仿宋"/>
      <w:color w:val="000000"/>
      <w:sz w:val="24"/>
    </w:rPr>
  </w:style>
  <w:style w:type="paragraph" w:customStyle="1" w:styleId="66">
    <w:name w:val="章"/>
    <w:basedOn w:val="1"/>
    <w:qFormat/>
    <w:uiPriority w:val="0"/>
    <w:pPr>
      <w:pageBreakBefore/>
      <w:numPr>
        <w:ilvl w:val="0"/>
        <w:numId w:val="5"/>
      </w:numPr>
      <w:spacing w:beforeLines="100" w:afterLines="100"/>
      <w:jc w:val="center"/>
      <w:outlineLvl w:val="0"/>
    </w:pPr>
    <w:rPr>
      <w:rFonts w:ascii="Calibri" w:hAnsi="Calibri" w:eastAsia="华文仿宋"/>
      <w:b/>
      <w:sz w:val="28"/>
    </w:rPr>
  </w:style>
  <w:style w:type="paragraph" w:customStyle="1" w:styleId="67">
    <w:name w:val="Body text|1"/>
    <w:basedOn w:val="1"/>
    <w:qFormat/>
    <w:uiPriority w:val="0"/>
    <w:pPr>
      <w:spacing w:after="220"/>
    </w:pPr>
    <w:rPr>
      <w:rFonts w:ascii="宋体" w:hAnsi="宋体" w:cs="宋体"/>
      <w:sz w:val="20"/>
      <w:szCs w:val="20"/>
      <w:lang w:val="zh-TW" w:eastAsia="zh-TW" w:bidi="zh-TW"/>
    </w:rPr>
  </w:style>
  <w:style w:type="paragraph" w:customStyle="1" w:styleId="68">
    <w:name w:val="Other|1"/>
    <w:basedOn w:val="1"/>
    <w:qFormat/>
    <w:uiPriority w:val="0"/>
    <w:pPr>
      <w:spacing w:after="220"/>
    </w:pPr>
    <w:rPr>
      <w:rFonts w:ascii="宋体" w:hAnsi="宋体" w:cs="宋体"/>
      <w:sz w:val="20"/>
      <w:szCs w:val="20"/>
      <w:lang w:val="zh-TW" w:eastAsia="zh-TW" w:bidi="zh-TW"/>
    </w:rPr>
  </w:style>
  <w:style w:type="paragraph" w:customStyle="1" w:styleId="69">
    <w:name w:val="Table caption|1"/>
    <w:basedOn w:val="1"/>
    <w:qFormat/>
    <w:uiPriority w:val="0"/>
    <w:rPr>
      <w:rFonts w:ascii="宋体" w:hAnsi="宋体" w:cs="宋体"/>
      <w:sz w:val="20"/>
      <w:szCs w:val="20"/>
      <w:lang w:val="zh-TW" w:eastAsia="zh-TW" w:bidi="zh-TW"/>
    </w:rPr>
  </w:style>
  <w:style w:type="paragraph" w:customStyle="1" w:styleId="7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71">
    <w:name w:val="批注框文本 Char"/>
    <w:basedOn w:val="33"/>
    <w:link w:val="21"/>
    <w:semiHidden/>
    <w:qFormat/>
    <w:uiPriority w:val="99"/>
    <w:rPr>
      <w:rFonts w:cstheme="minorBidi"/>
      <w:kern w:val="2"/>
      <w:sz w:val="18"/>
      <w:szCs w:val="18"/>
    </w:rPr>
  </w:style>
  <w:style w:type="paragraph" w:customStyle="1" w:styleId="72">
    <w:name w:val="正文1"/>
    <w:basedOn w:val="1"/>
    <w:qFormat/>
    <w:uiPriority w:val="0"/>
    <w:pPr>
      <w:spacing w:line="240" w:lineRule="auto"/>
      <w:ind w:firstLine="420" w:firstLineChars="200"/>
    </w:pPr>
    <w:rPr>
      <w:rFonts w:hint="eastAsia"/>
    </w:rPr>
  </w:style>
  <w:style w:type="paragraph" w:customStyle="1" w:styleId="73">
    <w:name w:val="图名"/>
    <w:basedOn w:val="1"/>
    <w:qFormat/>
    <w:uiPriority w:val="0"/>
    <w:pPr>
      <w:adjustRightInd w:val="0"/>
      <w:snapToGrid w:val="0"/>
      <w:spacing w:line="340" w:lineRule="exact"/>
      <w:jc w:val="center"/>
    </w:pPr>
    <w:rPr>
      <w:rFonts w:eastAsia="楷体_GB2312"/>
      <w:color w:val="000000" w:themeColor="text1"/>
      <w:szCs w:val="21"/>
      <w14:textFill>
        <w14:solidFill>
          <w14:schemeClr w14:val="tx1"/>
        </w14:solidFill>
      </w14:textFill>
    </w:rPr>
  </w:style>
  <w:style w:type="paragraph" w:customStyle="1" w:styleId="74">
    <w:name w:val="说明"/>
    <w:basedOn w:val="1"/>
    <w:qFormat/>
    <w:uiPriority w:val="0"/>
    <w:pPr>
      <w:spacing w:line="240" w:lineRule="auto"/>
    </w:pPr>
    <w:rPr>
      <w:rFonts w:hint="eastAsia" w:ascii="楷体" w:hAnsi="楷体" w:eastAsia="楷体" w:cs="楷体"/>
    </w:rPr>
  </w:style>
  <w:style w:type="paragraph" w:customStyle="1" w:styleId="75">
    <w:name w:val="款项"/>
    <w:basedOn w:val="1"/>
    <w:qFormat/>
    <w:uiPriority w:val="0"/>
    <w:pPr>
      <w:numPr>
        <w:ilvl w:val="1"/>
        <w:numId w:val="6"/>
      </w:numPr>
      <w:adjustRightInd w:val="0"/>
      <w:snapToGrid w:val="0"/>
      <w:spacing w:line="240" w:lineRule="auto"/>
    </w:pPr>
    <w:rPr>
      <w:rFonts w:hint="eastAsia"/>
      <w:color w:val="000000" w:themeColor="text1"/>
      <w:szCs w:val="21"/>
      <w14:textFill>
        <w14:solidFill>
          <w14:schemeClr w14:val="tx1"/>
        </w14:solidFill>
      </w14:textFill>
    </w:rPr>
  </w:style>
  <w:style w:type="paragraph" w:customStyle="1" w:styleId="76">
    <w:name w:val="标准文件_前言、引言标题"/>
    <w:next w:val="1"/>
    <w:qFormat/>
    <w:uiPriority w:val="0"/>
    <w:pPr>
      <w:numPr>
        <w:ilvl w:val="0"/>
        <w:numId w:val="7"/>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77">
    <w:name w:val="标准文件_段"/>
    <w:link w:val="111"/>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customStyle="1" w:styleId="78">
    <w:name w:val="标准文件_章标题"/>
    <w:next w:val="77"/>
    <w:qFormat/>
    <w:uiPriority w:val="0"/>
    <w:pPr>
      <w:numPr>
        <w:ilvl w:val="1"/>
        <w:numId w:val="8"/>
      </w:numPr>
      <w:spacing w:beforeLines="100" w:afterLines="100"/>
      <w:jc w:val="both"/>
      <w:outlineLvl w:val="0"/>
    </w:pPr>
    <w:rPr>
      <w:rFonts w:ascii="黑体" w:hAnsi="Times New Roman" w:eastAsia="黑体" w:cs="Times New Roman"/>
      <w:sz w:val="21"/>
      <w:lang w:val="en-US" w:eastAsia="zh-CN" w:bidi="ar-SA"/>
    </w:rPr>
  </w:style>
  <w:style w:type="paragraph" w:customStyle="1" w:styleId="79">
    <w:name w:val="标准文件_术语条一"/>
    <w:basedOn w:val="80"/>
    <w:next w:val="77"/>
    <w:qFormat/>
    <w:uiPriority w:val="0"/>
  </w:style>
  <w:style w:type="paragraph" w:customStyle="1" w:styleId="80">
    <w:name w:val="标准文件_一级无标题"/>
    <w:basedOn w:val="81"/>
    <w:qFormat/>
    <w:uiPriority w:val="0"/>
    <w:pPr>
      <w:spacing w:beforeLines="0" w:afterLines="0"/>
      <w:outlineLvl w:val="9"/>
    </w:pPr>
    <w:rPr>
      <w:rFonts w:ascii="宋体" w:eastAsia="宋体"/>
    </w:rPr>
  </w:style>
  <w:style w:type="paragraph" w:customStyle="1" w:styleId="81">
    <w:name w:val="标准文件_一级条标题"/>
    <w:basedOn w:val="78"/>
    <w:next w:val="77"/>
    <w:qFormat/>
    <w:uiPriority w:val="0"/>
    <w:pPr>
      <w:numPr>
        <w:ilvl w:val="2"/>
      </w:numPr>
      <w:spacing w:beforeLines="50" w:afterLines="50"/>
      <w:outlineLvl w:val="1"/>
    </w:p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3">
    <w:name w:val="前言标题"/>
    <w:next w:val="1"/>
    <w:qFormat/>
    <w:uiPriority w:val="0"/>
    <w:pPr>
      <w:numPr>
        <w:ilvl w:val="0"/>
        <w:numId w:val="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84">
    <w:name w:val="标准文件_二级无标题"/>
    <w:basedOn w:val="85"/>
    <w:qFormat/>
    <w:uiPriority w:val="0"/>
    <w:pPr>
      <w:spacing w:beforeLines="0" w:afterLines="0"/>
      <w:outlineLvl w:val="9"/>
    </w:pPr>
    <w:rPr>
      <w:rFonts w:ascii="宋体" w:eastAsia="宋体"/>
    </w:rPr>
  </w:style>
  <w:style w:type="paragraph" w:customStyle="1" w:styleId="85">
    <w:name w:val="标准文件_二级条标题"/>
    <w:next w:val="77"/>
    <w:qFormat/>
    <w:uiPriority w:val="0"/>
    <w:pPr>
      <w:widowControl w:val="0"/>
      <w:numPr>
        <w:ilvl w:val="3"/>
        <w:numId w:val="8"/>
      </w:numPr>
      <w:spacing w:beforeLines="50" w:afterLines="50"/>
      <w:jc w:val="both"/>
      <w:outlineLvl w:val="2"/>
    </w:pPr>
    <w:rPr>
      <w:rFonts w:ascii="黑体" w:hAnsi="Times New Roman" w:eastAsia="黑体" w:cs="Times New Roman"/>
      <w:sz w:val="21"/>
      <w:lang w:val="en-US" w:eastAsia="zh-CN" w:bidi="ar-SA"/>
    </w:rPr>
  </w:style>
  <w:style w:type="paragraph" w:customStyle="1" w:styleId="86">
    <w:name w:val="标准文件_一级项"/>
    <w:qFormat/>
    <w:uiPriority w:val="0"/>
    <w:pPr>
      <w:numPr>
        <w:ilvl w:val="0"/>
        <w:numId w:val="9"/>
      </w:numPr>
      <w:tabs>
        <w:tab w:val="left" w:pos="851"/>
      </w:tabs>
    </w:pPr>
    <w:rPr>
      <w:rFonts w:ascii="宋体" w:hAnsi="Times New Roman" w:eastAsia="宋体" w:cs="Times New Roman"/>
      <w:sz w:val="21"/>
      <w:lang w:val="en-US" w:eastAsia="zh-CN" w:bidi="ar-SA"/>
    </w:rPr>
  </w:style>
  <w:style w:type="paragraph" w:customStyle="1" w:styleId="87">
    <w:name w:val="标准文件_二级项2"/>
    <w:basedOn w:val="77"/>
    <w:qFormat/>
    <w:uiPriority w:val="0"/>
    <w:pPr>
      <w:numPr>
        <w:ilvl w:val="1"/>
        <w:numId w:val="9"/>
      </w:numPr>
      <w:ind w:left="1271" w:hanging="420" w:firstLineChars="0"/>
    </w:pPr>
  </w:style>
  <w:style w:type="paragraph" w:customStyle="1" w:styleId="88">
    <w:name w:val="标准文件_正文表标题"/>
    <w:next w:val="77"/>
    <w:qFormat/>
    <w:uiPriority w:val="0"/>
    <w:pPr>
      <w:numPr>
        <w:ilvl w:val="0"/>
        <w:numId w:val="10"/>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89">
    <w:name w:val="列表段落1"/>
    <w:basedOn w:val="1"/>
    <w:qFormat/>
    <w:uiPriority w:val="0"/>
    <w:pPr>
      <w:spacing w:before="100" w:beforeAutospacing="1" w:after="100" w:afterAutospacing="1" w:line="240" w:lineRule="auto"/>
      <w:ind w:left="720"/>
      <w:contextualSpacing/>
    </w:pPr>
  </w:style>
  <w:style w:type="paragraph" w:customStyle="1" w:styleId="90">
    <w:name w:val="标准文件_三级无标题"/>
    <w:basedOn w:val="91"/>
    <w:qFormat/>
    <w:uiPriority w:val="0"/>
    <w:pPr>
      <w:spacing w:beforeLines="0" w:afterLines="0"/>
      <w:outlineLvl w:val="9"/>
    </w:pPr>
    <w:rPr>
      <w:rFonts w:ascii="宋体" w:eastAsia="宋体"/>
    </w:rPr>
  </w:style>
  <w:style w:type="paragraph" w:customStyle="1" w:styleId="91">
    <w:name w:val="标准文件_三级条标题"/>
    <w:basedOn w:val="85"/>
    <w:next w:val="77"/>
    <w:qFormat/>
    <w:uiPriority w:val="0"/>
    <w:pPr>
      <w:widowControl/>
      <w:numPr>
        <w:ilvl w:val="4"/>
      </w:numPr>
      <w:outlineLvl w:val="3"/>
    </w:pPr>
  </w:style>
  <w:style w:type="paragraph" w:customStyle="1" w:styleId="92">
    <w:name w:val="标准文件_附录图标号"/>
    <w:basedOn w:val="77"/>
    <w:next w:val="77"/>
    <w:qFormat/>
    <w:uiPriority w:val="0"/>
    <w:pPr>
      <w:numPr>
        <w:ilvl w:val="0"/>
        <w:numId w:val="11"/>
      </w:numPr>
      <w:spacing w:line="14" w:lineRule="exact"/>
      <w:ind w:firstLine="0" w:firstLineChars="0"/>
      <w:jc w:val="center"/>
    </w:pPr>
    <w:rPr>
      <w:rFonts w:ascii="黑体" w:hAnsi="黑体" w:eastAsia="黑体"/>
      <w:vanish/>
      <w:sz w:val="2"/>
      <w:szCs w:val="21"/>
    </w:rPr>
  </w:style>
  <w:style w:type="paragraph" w:customStyle="1" w:styleId="93">
    <w:name w:val="标准文件_附录表标号"/>
    <w:basedOn w:val="77"/>
    <w:next w:val="77"/>
    <w:qFormat/>
    <w:uiPriority w:val="0"/>
    <w:pPr>
      <w:numPr>
        <w:ilvl w:val="0"/>
        <w:numId w:val="12"/>
      </w:numPr>
      <w:spacing w:line="14" w:lineRule="exact"/>
      <w:ind w:firstLine="0" w:firstLineChars="0"/>
      <w:jc w:val="center"/>
    </w:pPr>
    <w:rPr>
      <w:rFonts w:eastAsia="黑体"/>
      <w:vanish/>
      <w:sz w:val="2"/>
    </w:rPr>
  </w:style>
  <w:style w:type="paragraph" w:customStyle="1" w:styleId="94">
    <w:name w:val="标准文件_附录标识"/>
    <w:next w:val="77"/>
    <w:qFormat/>
    <w:uiPriority w:val="0"/>
    <w:pPr>
      <w:numPr>
        <w:ilvl w:val="0"/>
        <w:numId w:val="1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5">
    <w:name w:val="标准文件_附录图标题"/>
    <w:next w:val="77"/>
    <w:qFormat/>
    <w:uiPriority w:val="0"/>
    <w:pPr>
      <w:numPr>
        <w:ilvl w:val="1"/>
        <w:numId w:val="11"/>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6">
    <w:name w:val="标准文件_附录一级条标题"/>
    <w:next w:val="77"/>
    <w:qFormat/>
    <w:uiPriority w:val="0"/>
    <w:pPr>
      <w:widowControl w:val="0"/>
      <w:numPr>
        <w:ilvl w:val="1"/>
        <w:numId w:val="13"/>
      </w:numPr>
      <w:spacing w:beforeLines="50" w:afterLines="50"/>
      <w:ind w:left="0"/>
      <w:jc w:val="both"/>
      <w:outlineLvl w:val="2"/>
    </w:pPr>
    <w:rPr>
      <w:rFonts w:ascii="黑体" w:hAnsi="黑体" w:eastAsia="黑体" w:cs="Times New Roman"/>
      <w:kern w:val="21"/>
      <w:sz w:val="21"/>
      <w:lang w:val="en-US" w:eastAsia="zh-CN" w:bidi="ar-SA"/>
    </w:rPr>
  </w:style>
  <w:style w:type="paragraph" w:customStyle="1" w:styleId="97">
    <w:name w:val="标准文件_附录二级条标题"/>
    <w:basedOn w:val="96"/>
    <w:next w:val="77"/>
    <w:qFormat/>
    <w:uiPriority w:val="0"/>
    <w:pPr>
      <w:widowControl/>
      <w:numPr>
        <w:ilvl w:val="2"/>
      </w:numPr>
      <w:tabs>
        <w:tab w:val="left" w:pos="-784"/>
      </w:tabs>
      <w:wordWrap w:val="0"/>
      <w:overflowPunct w:val="0"/>
      <w:autoSpaceDE w:val="0"/>
      <w:autoSpaceDN w:val="0"/>
      <w:textAlignment w:val="baseline"/>
      <w:outlineLvl w:val="3"/>
    </w:pPr>
  </w:style>
  <w:style w:type="paragraph" w:customStyle="1" w:styleId="98">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99">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styleId="100">
    <w:name w:val="No Spacing"/>
    <w:basedOn w:val="1"/>
    <w:qFormat/>
    <w:uiPriority w:val="99"/>
    <w:pPr>
      <w:ind w:firstLine="200" w:firstLineChars="200"/>
    </w:pPr>
    <w:rPr>
      <w:rFonts w:cs="宋体"/>
      <w:sz w:val="24"/>
      <w:szCs w:val="24"/>
    </w:rPr>
  </w:style>
  <w:style w:type="paragraph" w:customStyle="1" w:styleId="101">
    <w:name w:val="标准文件_参考文献标题"/>
    <w:basedOn w:val="1"/>
    <w:next w:val="1"/>
    <w:qFormat/>
    <w:uiPriority w:val="0"/>
    <w:pPr>
      <w:widowControl/>
      <w:shd w:val="clear" w:color="FFFFFF" w:fill="FFFFFF"/>
      <w:spacing w:beforeLines="40" w:afterLines="50" w:line="240" w:lineRule="auto"/>
      <w:jc w:val="center"/>
      <w:outlineLvl w:val="0"/>
    </w:pPr>
    <w:rPr>
      <w:rFonts w:ascii="黑体" w:eastAsia="黑体"/>
      <w:kern w:val="0"/>
    </w:rPr>
  </w:style>
  <w:style w:type="paragraph" w:customStyle="1" w:styleId="102">
    <w:name w:val="款项1"/>
    <w:basedOn w:val="1"/>
    <w:qFormat/>
    <w:uiPriority w:val="0"/>
    <w:pPr>
      <w:widowControl/>
      <w:tabs>
        <w:tab w:val="left" w:pos="851"/>
      </w:tabs>
      <w:spacing w:line="240" w:lineRule="auto"/>
      <w:ind w:left="839" w:hanging="420"/>
    </w:pPr>
    <w:rPr>
      <w:rFonts w:cs="Times New Roman"/>
    </w:rPr>
  </w:style>
  <w:style w:type="paragraph" w:customStyle="1" w:styleId="103">
    <w:name w:val="正文标题1"/>
    <w:basedOn w:val="1"/>
    <w:qFormat/>
    <w:uiPriority w:val="0"/>
    <w:pPr>
      <w:numPr>
        <w:ilvl w:val="0"/>
        <w:numId w:val="15"/>
      </w:numPr>
      <w:autoSpaceDE w:val="0"/>
      <w:autoSpaceDN w:val="0"/>
      <w:spacing w:beforeLines="100" w:afterLines="100" w:line="240" w:lineRule="auto"/>
    </w:pPr>
    <w:rPr>
      <w:rFonts w:eastAsia="黑体" w:cs="Times New Roman"/>
    </w:rPr>
  </w:style>
  <w:style w:type="paragraph" w:customStyle="1" w:styleId="104">
    <w:name w:val="正文标题2"/>
    <w:basedOn w:val="1"/>
    <w:qFormat/>
    <w:uiPriority w:val="0"/>
    <w:pPr>
      <w:numPr>
        <w:ilvl w:val="0"/>
        <w:numId w:val="2"/>
      </w:numPr>
      <w:spacing w:beforeLines="50" w:afterLines="50" w:line="240" w:lineRule="auto"/>
    </w:pPr>
    <w:rPr>
      <w:rFonts w:eastAsia="黑体"/>
    </w:rPr>
  </w:style>
  <w:style w:type="paragraph" w:customStyle="1" w:styleId="10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6">
    <w:name w:val="其他发布日期"/>
    <w:basedOn w:val="1"/>
    <w:qFormat/>
    <w:uiPriority w:val="0"/>
    <w:pPr>
      <w:framePr w:w="3997" w:h="471" w:hRule="exact" w:vSpace="181" w:wrap="around" w:vAnchor="page" w:hAnchor="page" w:x="1419" w:y="14097" w:anchorLock="1"/>
      <w:widowControl/>
      <w:spacing w:line="240" w:lineRule="auto"/>
      <w:jc w:val="left"/>
    </w:pPr>
    <w:rPr>
      <w:rFonts w:eastAsia="黑体" w:cs="Times New Roman"/>
      <w:kern w:val="0"/>
      <w:sz w:val="28"/>
      <w:szCs w:val="20"/>
    </w:rPr>
  </w:style>
  <w:style w:type="paragraph" w:customStyle="1" w:styleId="107">
    <w:name w:val="其他实施日期"/>
    <w:basedOn w:val="1"/>
    <w:qFormat/>
    <w:uiPriority w:val="0"/>
    <w:pPr>
      <w:framePr w:w="3997" w:h="471" w:hRule="exact" w:vSpace="181" w:wrap="around" w:vAnchor="page" w:hAnchor="page" w:x="7089" w:y="14097" w:anchorLock="1"/>
      <w:widowControl/>
      <w:spacing w:line="240" w:lineRule="auto"/>
      <w:jc w:val="right"/>
    </w:pPr>
    <w:rPr>
      <w:rFonts w:eastAsia="黑体" w:cs="Times New Roman"/>
      <w:kern w:val="0"/>
      <w:sz w:val="28"/>
      <w:szCs w:val="20"/>
    </w:rPr>
  </w:style>
  <w:style w:type="character" w:customStyle="1" w:styleId="108">
    <w:name w:val="发布"/>
    <w:qFormat/>
    <w:uiPriority w:val="0"/>
    <w:rPr>
      <w:rFonts w:ascii="黑体" w:eastAsia="黑体"/>
      <w:spacing w:val="85"/>
      <w:w w:val="100"/>
      <w:position w:val="3"/>
      <w:sz w:val="28"/>
      <w:szCs w:val="28"/>
    </w:rPr>
  </w:style>
  <w:style w:type="paragraph" w:customStyle="1" w:styleId="109">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cs="Times New Roman"/>
      <w:spacing w:val="20"/>
      <w:w w:val="135"/>
      <w:kern w:val="0"/>
      <w:sz w:val="28"/>
      <w:szCs w:val="20"/>
    </w:rPr>
  </w:style>
  <w:style w:type="character" w:styleId="110">
    <w:name w:val="Placeholder Text"/>
    <w:basedOn w:val="33"/>
    <w:unhideWhenUsed/>
    <w:qFormat/>
    <w:uiPriority w:val="99"/>
    <w:rPr>
      <w:color w:val="808080"/>
    </w:rPr>
  </w:style>
  <w:style w:type="character" w:customStyle="1" w:styleId="111">
    <w:name w:val="标准文件_段 Char"/>
    <w:link w:val="77"/>
    <w:qFormat/>
    <w:uiPriority w:val="0"/>
    <w:rPr>
      <w:rFonts w:ascii="宋体" w:hAnsi="宋体"/>
      <w:sz w:val="21"/>
    </w:rPr>
  </w:style>
  <w:style w:type="paragraph" w:customStyle="1" w:styleId="112">
    <w:name w:val="表头"/>
    <w:basedOn w:val="1"/>
    <w:link w:val="113"/>
    <w:qFormat/>
    <w:uiPriority w:val="0"/>
    <w:pPr>
      <w:adjustRightInd w:val="0"/>
      <w:snapToGrid w:val="0"/>
      <w:spacing w:beforeLines="50" w:line="400" w:lineRule="exact"/>
      <w:jc w:val="center"/>
    </w:pPr>
    <w:rPr>
      <w:rFonts w:ascii="黑体" w:hAnsi="黑体" w:eastAsia="黑体"/>
      <w:szCs w:val="21"/>
    </w:rPr>
  </w:style>
  <w:style w:type="character" w:customStyle="1" w:styleId="113">
    <w:name w:val="表头 Char"/>
    <w:basedOn w:val="33"/>
    <w:link w:val="112"/>
    <w:qFormat/>
    <w:uiPriority w:val="0"/>
    <w:rPr>
      <w:rFonts w:ascii="黑体" w:hAnsi="黑体" w:eastAsia="黑体" w:cstheme="minorBidi"/>
      <w:kern w:val="2"/>
      <w:sz w:val="21"/>
      <w:szCs w:val="21"/>
    </w:rPr>
  </w:style>
  <w:style w:type="paragraph" w:customStyle="1" w:styleId="114">
    <w:name w:val="正文内容"/>
    <w:basedOn w:val="1"/>
    <w:link w:val="115"/>
    <w:qFormat/>
    <w:uiPriority w:val="0"/>
    <w:pPr>
      <w:adjustRightInd w:val="0"/>
      <w:snapToGrid w:val="0"/>
      <w:spacing w:line="400" w:lineRule="exact"/>
      <w:ind w:firstLine="420" w:firstLineChars="200"/>
    </w:pPr>
    <w:rPr>
      <w:rFonts w:cs="Times New Roman"/>
    </w:rPr>
  </w:style>
  <w:style w:type="character" w:customStyle="1" w:styleId="115">
    <w:name w:val="正文内容 Char"/>
    <w:basedOn w:val="33"/>
    <w:link w:val="114"/>
    <w:qFormat/>
    <w:uiPriority w:val="0"/>
    <w:rPr>
      <w:kern w:val="2"/>
      <w:sz w:val="21"/>
      <w:szCs w:val="22"/>
    </w:rPr>
  </w:style>
  <w:style w:type="paragraph" w:customStyle="1" w:styleId="116">
    <w:name w:val="TOC 标题1"/>
    <w:basedOn w:val="3"/>
    <w:next w:val="1"/>
    <w:unhideWhenUsed/>
    <w:qFormat/>
    <w:uiPriority w:val="39"/>
    <w:pPr>
      <w:widowControl/>
      <w:numPr>
        <w:numId w:val="0"/>
      </w:numPr>
      <w:spacing w:beforeLines="0" w:afterLines="0" w:line="276" w:lineRule="auto"/>
      <w:jc w:val="left"/>
      <w:outlineLvl w:val="9"/>
    </w:pPr>
    <w:rPr>
      <w:rFonts w:asciiTheme="majorHAnsi" w:hAnsiTheme="majorHAnsi" w:eastAsiaTheme="majorEastAsia" w:cstheme="majorBidi"/>
      <w:b/>
      <w:color w:val="2F5597" w:themeColor="accent1" w:themeShade="BF"/>
      <w:kern w:val="0"/>
      <w:sz w:val="28"/>
      <w:szCs w:val="28"/>
    </w:rPr>
  </w:style>
  <w:style w:type="paragraph" w:customStyle="1" w:styleId="117">
    <w:name w:val="Table Paragraph"/>
    <w:basedOn w:val="1"/>
    <w:qFormat/>
    <w:uiPriority w:val="1"/>
    <w:pPr>
      <w:autoSpaceDE w:val="0"/>
      <w:autoSpaceDN w:val="0"/>
      <w:adjustRightInd w:val="0"/>
      <w:jc w:val="left"/>
    </w:pPr>
    <w:rPr>
      <w:rFonts w:ascii="宋体" w:cs="宋体"/>
      <w:kern w:val="0"/>
      <w:sz w:val="24"/>
      <w:szCs w:val="24"/>
    </w:rPr>
  </w:style>
  <w:style w:type="character" w:customStyle="1" w:styleId="118">
    <w:name w:val="文档结构图 Char"/>
    <w:basedOn w:val="33"/>
    <w:link w:val="14"/>
    <w:semiHidden/>
    <w:qFormat/>
    <w:uiPriority w:val="99"/>
    <w:rPr>
      <w:rFonts w:ascii="宋体" w:cstheme="minorBidi"/>
      <w:kern w:val="2"/>
      <w:sz w:val="18"/>
      <w:szCs w:val="18"/>
    </w:rPr>
  </w:style>
  <w:style w:type="character" w:customStyle="1" w:styleId="119">
    <w:name w:val="批注文字 Char"/>
    <w:basedOn w:val="33"/>
    <w:link w:val="15"/>
    <w:uiPriority w:val="0"/>
    <w:rPr>
      <w:rFonts w:cstheme="minorBidi"/>
      <w:kern w:val="2"/>
      <w:sz w:val="21"/>
      <w:szCs w:val="22"/>
    </w:rPr>
  </w:style>
  <w:style w:type="character" w:customStyle="1" w:styleId="120">
    <w:name w:val="批注主题 Char"/>
    <w:basedOn w:val="119"/>
    <w:link w:val="30"/>
    <w:semiHidden/>
    <w:qFormat/>
    <w:uiPriority w:val="99"/>
    <w:rPr>
      <w:rFonts w:cstheme="minorBidi"/>
      <w:b/>
      <w:bCs/>
      <w:kern w:val="2"/>
      <w:sz w:val="21"/>
      <w:szCs w:val="22"/>
    </w:rPr>
  </w:style>
  <w:style w:type="character" w:customStyle="1" w:styleId="121">
    <w:name w:val="日期 Char"/>
    <w:basedOn w:val="33"/>
    <w:link w:val="20"/>
    <w:semiHidden/>
    <w:qFormat/>
    <w:uiPriority w:val="99"/>
    <w:rPr>
      <w:rFonts w:cstheme="minorBidi"/>
      <w:kern w:val="2"/>
      <w:sz w:val="21"/>
      <w:szCs w:val="22"/>
    </w:rPr>
  </w:style>
  <w:style w:type="paragraph" w:customStyle="1" w:styleId="122">
    <w:name w:val="修订1"/>
    <w:hidden/>
    <w:unhideWhenUsed/>
    <w:uiPriority w:val="99"/>
    <w:rPr>
      <w:rFonts w:ascii="Times New Roman" w:hAnsi="Times New Roman" w:eastAsia="宋体" w:cstheme="minorBidi"/>
      <w:kern w:val="2"/>
      <w:sz w:val="21"/>
      <w:szCs w:val="22"/>
      <w:lang w:val="en-US" w:eastAsia="zh-CN" w:bidi="ar-SA"/>
    </w:rPr>
  </w:style>
  <w:style w:type="character" w:customStyle="1" w:styleId="123">
    <w:name w:val="正文文本缩进 Char"/>
    <w:basedOn w:val="33"/>
    <w:link w:val="2"/>
    <w:qFormat/>
    <w:uiPriority w:val="99"/>
    <w:rPr>
      <w:rFonts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A3966-3175-4F1B-85EE-2F4C437FA212}">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46</Pages>
  <Words>21793</Words>
  <Characters>7474</Characters>
  <Lines>62</Lines>
  <Paragraphs>58</Paragraphs>
  <TotalTime>3</TotalTime>
  <ScaleCrop>false</ScaleCrop>
  <LinksUpToDate>false</LinksUpToDate>
  <CharactersWithSpaces>29209</CharactersWithSpaces>
  <Application>WPS Office_11.8.6.8811_F1E327BC-269C-435d-A152-05C5408002CA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2023-11-17T06:50:00Z</dcterms:created>
  <dc:creator>黄 耀东</dc:creator>
  <cp:lastModifiedBy>朱琴</cp:lastModifiedBy>
  <cp:lastPrinted>2023-10-18T09:50:00Z</cp:lastPrinted>
  <dcterms:modified xsi:type="dcterms:W3CDTF">2023-11-17T07:14:11Z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WinEqns">
    <vt:bool>true</vt:bool>
  </property>
  <property fmtid="{D5CDD505-2E9C-101B-9397-08002B2CF9AE}" pid="3" name="AMEquationSection">
    <vt:lpwstr>1</vt:lpwstr>
  </property>
  <property fmtid="{D5CDD505-2E9C-101B-9397-08002B2CF9AE}" pid="4" name="AMEquationNumber2">
    <vt:lpwstr>(#CA.#E1)</vt:lpwstr>
  </property>
  <property fmtid="{D5CDD505-2E9C-101B-9397-08002B2CF9AE}" pid="5" name="AMDeferFieldUpdate">
    <vt:lpwstr>1</vt:lpwstr>
  </property>
  <property fmtid="{D5CDD505-2E9C-101B-9397-08002B2CF9AE}" pid="6" name="KSOProductBuildVer">
    <vt:lpwstr>2052-11.8.6.8811</vt:lpwstr>
  </property>
  <property fmtid="{D5CDD505-2E9C-101B-9397-08002B2CF9AE}" pid="7" name="ICV">
    <vt:lpwstr>E3473F561B1042718D7C9E81780785C2</vt:lpwstr>
  </property>
</Properties>
</file>