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  <w:tab w:val="left" w:pos="7513"/>
        </w:tabs>
        <w:spacing w:beforeLines="0" w:line="578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beforeLines="0"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未完成2020年上半年双随机一公开勘察设计执法检查整改情况表</w:t>
      </w:r>
    </w:p>
    <w:p>
      <w:pPr>
        <w:spacing w:beforeLines="0"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013"/>
        <w:gridCol w:w="6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湖北天虹环保工程有限公司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只提供整改说明，未提交整改资料。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湖北鼎正兴邦能源工程有限公司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只提供整改说明，未提交整改资料。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武汉泰昌源环保科技有限公司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整改资料未提供原件核实。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武汉市逸臣装饰设计工程有限责任公司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整改资料未提供原件核实。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武汉初心设计工程有限公司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武汉东方建设集团有限公司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spacing w:before="156" w:line="5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武汉视空营造设计发展有限公司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spacing w:before="156" w:line="5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武汉纬博新源电力设计有限公司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spacing w:before="156" w:line="500" w:lineRule="exact"/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武汉长盛恒泰岩土工程勘察有限公司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武汉锦其建筑装饰工程有限公司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武汉润土环境艺术设计有限公司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2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武汉市新银港建筑装饰设计工程有限公司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未提交整改资料。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鑫宇华建设工程有限公司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spacing w:before="156"/>
            </w:pPr>
            <w:r>
              <w:rPr>
                <w:rFonts w:hint="eastAsia" w:ascii="仿宋_GB2312" w:eastAsia="仿宋_GB2312"/>
                <w:sz w:val="32"/>
                <w:szCs w:val="32"/>
              </w:rPr>
              <w:t>无法联系，未提交检查及整改资料。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武汉华羿博建设有限公司</w:t>
            </w:r>
          </w:p>
        </w:tc>
        <w:tc>
          <w:tcPr>
            <w:tcW w:w="2441" w:type="pct"/>
            <w:noWrap w:val="0"/>
            <w:vAlign w:val="top"/>
          </w:tcPr>
          <w:p>
            <w:pPr>
              <w:spacing w:before="156"/>
            </w:pPr>
            <w:r>
              <w:rPr>
                <w:rFonts w:hint="eastAsia" w:ascii="仿宋_GB2312" w:eastAsia="仿宋_GB2312"/>
                <w:sz w:val="32"/>
                <w:szCs w:val="32"/>
              </w:rPr>
              <w:t>无法联系，未提交检查及整改资料。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12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武汉刘与姚建筑设计有限公司</w:t>
            </w:r>
          </w:p>
        </w:tc>
        <w:tc>
          <w:tcPr>
            <w:tcW w:w="2441" w:type="pct"/>
            <w:noWrap w:val="0"/>
            <w:vAlign w:val="center"/>
          </w:tcPr>
          <w:p>
            <w:pPr>
              <w:tabs>
                <w:tab w:val="left" w:pos="7371"/>
                <w:tab w:val="left" w:pos="7513"/>
              </w:tabs>
              <w:spacing w:beforeLines="0" w:line="5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无法联系，未提交检查及整改资料。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2783"/>
    <w:rsid w:val="61B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4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spacing w:beforeLine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2020-11-23T08:31:00Z</dcterms:created>
  <dc:creator>Administrator</dc:creator>
  <cp:lastModifiedBy>Administrator</cp:lastModifiedBy>
  <dcterms:modified xsi:type="dcterms:W3CDTF">2020-11-23T08:32:18Z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