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640" w:firstLineChars="200"/>
        <w:jc w:val="center"/>
        <w:rPr>
          <w:rFonts w:hint="default" w:ascii="宋体" w:hAnsi="宋体" w:eastAsia="宋体" w:cs="宋体"/>
          <w:spacing w:val="0"/>
          <w:sz w:val="21"/>
        </w:rPr>
      </w:pPr>
      <w:r>
        <w:rPr>
          <w:rFonts w:eastAsia="黑体"/>
          <w:sz w:val="32"/>
          <w:szCs w:val="32"/>
          <w:highlight w:val="none"/>
        </w:rPr>
        <w:t>采购需求</w:t>
      </w:r>
    </w:p>
    <w:p>
      <w:pPr>
        <w:pStyle w:val="3"/>
        <w:ind w:left="0" w:leftChars="0" w:firstLine="420" w:firstLineChars="200"/>
        <w:rPr>
          <w:rFonts w:hint="eastAsia" w:ascii="宋体" w:hAnsi="宋体" w:eastAsia="宋体" w:cs="宋体"/>
          <w:spacing w:val="0"/>
          <w:sz w:val="21"/>
          <w:highlight w:val="none"/>
        </w:rPr>
      </w:pPr>
      <w:r>
        <w:rPr>
          <w:rFonts w:hint="default" w:ascii="宋体" w:hAnsi="宋体" w:eastAsia="宋体" w:cs="宋体"/>
          <w:spacing w:val="0"/>
          <w:sz w:val="21"/>
        </w:rPr>
        <w:t>为规范政府和社会资本合作（PPP）项目全生命周期绩效管理，</w:t>
      </w:r>
      <w:r>
        <w:rPr>
          <w:rFonts w:hint="default" w:ascii="宋体" w:hAnsi="宋体" w:eastAsia="宋体" w:cs="宋体"/>
          <w:spacing w:val="0"/>
          <w:sz w:val="21"/>
          <w:lang w:eastAsia="zh-CN"/>
        </w:rPr>
        <w:t>推动PPP项目预算绩效管理提质增效</w:t>
      </w:r>
      <w:r>
        <w:rPr>
          <w:rFonts w:hint="eastAsia" w:ascii="宋体" w:hAnsi="宋体" w:cs="宋体"/>
          <w:spacing w:val="0"/>
          <w:sz w:val="21"/>
          <w:lang w:eastAsia="zh-CN"/>
        </w:rPr>
        <w:t>，</w:t>
      </w:r>
      <w:r>
        <w:rPr>
          <w:rFonts w:hint="default" w:ascii="宋体" w:hAnsi="宋体" w:eastAsia="宋体" w:cs="宋体"/>
          <w:spacing w:val="0"/>
          <w:sz w:val="21"/>
          <w:lang w:eastAsia="zh-CN"/>
        </w:rPr>
        <w:t>加强财政预算统筹约束力，</w:t>
      </w:r>
      <w:r>
        <w:rPr>
          <w:rFonts w:hint="default" w:ascii="宋体" w:hAnsi="宋体" w:eastAsia="宋体" w:cs="宋体"/>
          <w:spacing w:val="0"/>
          <w:sz w:val="21"/>
        </w:rPr>
        <w:t>提高公共服务供给效能，保障合作各方合法权益，进一步提升PPP项目管理水平</w:t>
      </w:r>
      <w:r>
        <w:rPr>
          <w:rFonts w:hint="eastAsia" w:ascii="宋体" w:hAnsi="宋体" w:eastAsia="宋体" w:cs="宋体"/>
          <w:spacing w:val="0"/>
          <w:sz w:val="21"/>
        </w:rPr>
        <w:t>，武汉市城乡建设局面向社会择优</w:t>
      </w:r>
      <w:r>
        <w:rPr>
          <w:rFonts w:hint="eastAsia" w:ascii="宋体" w:hAnsi="宋体" w:eastAsia="宋体" w:cs="宋体"/>
          <w:spacing w:val="0"/>
          <w:sz w:val="21"/>
          <w:highlight w:val="none"/>
        </w:rPr>
        <w:t>选定</w:t>
      </w:r>
      <w:r>
        <w:rPr>
          <w:rFonts w:hint="eastAsia" w:ascii="宋体" w:hAnsi="宋体" w:cs="宋体"/>
          <w:spacing w:val="0"/>
          <w:sz w:val="21"/>
          <w:highlight w:val="none"/>
          <w:lang w:val="en-US" w:eastAsia="zh-CN"/>
        </w:rPr>
        <w:t>咨询</w:t>
      </w:r>
      <w:r>
        <w:rPr>
          <w:rFonts w:hint="eastAsia" w:ascii="宋体" w:hAnsi="宋体" w:eastAsia="宋体" w:cs="宋体"/>
          <w:spacing w:val="0"/>
          <w:sz w:val="21"/>
          <w:highlight w:val="none"/>
          <w:lang w:val="en-US" w:eastAsia="zh-CN"/>
        </w:rPr>
        <w:t>服务机构</w:t>
      </w:r>
      <w:r>
        <w:rPr>
          <w:rFonts w:hint="eastAsia" w:ascii="宋体" w:hAnsi="宋体" w:eastAsia="宋体" w:cs="宋体"/>
          <w:spacing w:val="0"/>
          <w:sz w:val="21"/>
          <w:highlight w:val="none"/>
        </w:rPr>
        <w:t>，开展</w:t>
      </w:r>
      <w:r>
        <w:rPr>
          <w:rFonts w:hint="eastAsia" w:ascii="宋体" w:hAnsi="宋体" w:cs="宋体"/>
          <w:spacing w:val="0"/>
          <w:sz w:val="21"/>
          <w:highlight w:val="none"/>
          <w:lang w:val="en-US" w:eastAsia="zh-CN"/>
        </w:rPr>
        <w:t>江南中心绿道武九线综合管廊工程</w:t>
      </w:r>
      <w:r>
        <w:rPr>
          <w:rFonts w:hint="eastAsia" w:ascii="宋体" w:hAnsi="宋体" w:eastAsia="宋体" w:cs="宋体"/>
          <w:spacing w:val="0"/>
          <w:sz w:val="21"/>
          <w:highlight w:val="none"/>
        </w:rPr>
        <w:t>等</w:t>
      </w:r>
      <w:r>
        <w:rPr>
          <w:rFonts w:hint="eastAsia" w:ascii="宋体" w:hAnsi="宋体" w:cs="宋体"/>
          <w:spacing w:val="0"/>
          <w:sz w:val="21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spacing w:val="0"/>
          <w:sz w:val="21"/>
          <w:highlight w:val="none"/>
        </w:rPr>
        <w:t>个</w:t>
      </w:r>
      <w:r>
        <w:rPr>
          <w:rFonts w:hint="eastAsia" w:ascii="宋体" w:hAnsi="宋体" w:cs="宋体"/>
          <w:spacing w:val="0"/>
          <w:sz w:val="21"/>
          <w:highlight w:val="none"/>
          <w:lang w:eastAsia="zh-CN"/>
        </w:rPr>
        <w:t>江南中心绿道武九管线综合管廊工程等11个PPP项目2023年度绩效评价（考核）咨询服务</w:t>
      </w:r>
      <w:r>
        <w:rPr>
          <w:rFonts w:hint="eastAsia" w:ascii="宋体" w:hAnsi="宋体" w:eastAsia="宋体" w:cs="宋体"/>
          <w:spacing w:val="0"/>
          <w:sz w:val="21"/>
          <w:highlight w:val="none"/>
        </w:rPr>
        <w:t>工作。</w:t>
      </w:r>
    </w:p>
    <w:tbl>
      <w:tblPr>
        <w:tblStyle w:val="4"/>
        <w:tblW w:w="131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503"/>
        <w:gridCol w:w="1769"/>
        <w:gridCol w:w="1178"/>
        <w:gridCol w:w="730"/>
        <w:gridCol w:w="1157"/>
        <w:gridCol w:w="1146"/>
        <w:gridCol w:w="1150"/>
        <w:gridCol w:w="1146"/>
        <w:gridCol w:w="1151"/>
        <w:gridCol w:w="1170"/>
        <w:gridCol w:w="1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项目总投资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（亿元）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69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2023年考核内容（对应后续采购文件“四、采购标的服务内容及要求”）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预算金额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1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（一）绩效考核指标体系制定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（次数）</w:t>
            </w:r>
          </w:p>
        </w:tc>
        <w:tc>
          <w:tcPr>
            <w:tcW w:w="2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（二）绩效评价方案制定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（次数）</w:t>
            </w:r>
          </w:p>
        </w:tc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（三）绩效考核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（次数）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（四）运营期运维费用报告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（次数）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1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建设期绩效考核方案制定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运营期绩效考核方案制定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建设期绩效考核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运营期绩效考核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1包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青山示范区海绵城市（南干渠片区）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12.74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海绵城市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新武金堤路南北段（三环线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洪山江夏交界处、江国路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武泰闸）工程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44.63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2包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烽火路（八坦路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滨河路）工程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6.95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武汉市沿河大道（硚口路—三环线）工程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9.91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江汉七桥（解放大道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汉阳大道）工程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22.87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3包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黄家湖大道跨三环通道（滨河路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洪山江夏交界处）工程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2.34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高架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江汉六桥汉阳岸接线（汉阳大道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龙阳湖北路）工程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8.26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高架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4包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江南中心绿道武九线综合管廊工程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46.79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管廊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杨泗港快速通道青菱段（八坦立交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芦湾湖立交西）综合管廊工程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9.34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管廊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554" w:hRule="atLeast"/>
          <w:jc w:val="center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5包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武汉市杨泗港快速通道青菱段（八坦立交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丁字桥路）工程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54.01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高架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仙女山路（墨水湖北路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四新南路）工程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15.20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高架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bookmarkEnd w:id="0"/>
    </w:tbl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MjI4OTdkM2E0YjQ2ZjJkYTIzZTBiNTc4NGM3MjAifQ=="/>
  </w:docVars>
  <w:rsids>
    <w:rsidRoot w:val="00000000"/>
    <w:rsid w:val="5521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20" w:after="210" w:line="578" w:lineRule="auto"/>
      <w:jc w:val="center"/>
      <w:outlineLvl w:val="0"/>
    </w:pPr>
    <w:rPr>
      <w:rFonts w:ascii="Times New Roman" w:hAnsi="Times New Roman"/>
      <w:b/>
      <w:bCs/>
      <w:kern w:val="44"/>
      <w:sz w:val="36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1"/>
    <w:qFormat/>
    <w:uiPriority w:val="99"/>
    <w:pPr>
      <w:spacing w:after="120" w:line="360" w:lineRule="atLeast"/>
      <w:ind w:firstLine="720" w:firstLineChars="3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2023-03-30T08:36:02Z</dcterms:created>
  <dc:creator>86134</dc:creator>
  <cp:lastModifiedBy>一部</cp:lastModifiedBy>
  <dcterms:modified xsi:type="dcterms:W3CDTF">2023-03-30T08:42:29Z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8BDC27F47B8C4CBCB8088E4AD5764450_12</vt:lpwstr>
  </property>
</Properties>
</file>