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szCs w:val="44"/>
        </w:rPr>
      </w:pPr>
    </w:p>
    <w:p>
      <w:pPr>
        <w:jc w:val="center"/>
        <w:rPr>
          <w:rFonts w:ascii="宋体" w:hAnsi="宋体"/>
          <w:b/>
          <w:bCs/>
          <w:color w:val="000000"/>
          <w:sz w:val="44"/>
          <w:szCs w:val="44"/>
        </w:rPr>
      </w:pPr>
    </w:p>
    <w:p>
      <w:pPr>
        <w:jc w:val="center"/>
        <w:rPr>
          <w:rFonts w:ascii="宋体" w:hAnsi="宋体"/>
          <w:b/>
          <w:bCs/>
          <w:color w:val="000000"/>
          <w:sz w:val="44"/>
          <w:szCs w:val="44"/>
        </w:rPr>
      </w:pPr>
    </w:p>
    <w:p>
      <w:pPr>
        <w:jc w:val="center"/>
        <w:rPr>
          <w:rFonts w:ascii="宋体" w:hAnsi="宋体"/>
          <w:b/>
          <w:bCs/>
          <w:color w:val="000000"/>
          <w:sz w:val="44"/>
          <w:szCs w:val="44"/>
        </w:rPr>
      </w:pPr>
    </w:p>
    <w:p>
      <w:pPr>
        <w:jc w:val="center"/>
        <w:rPr>
          <w:rFonts w:ascii="方正小标宋_GBK" w:hAnsi="方正小标宋_GBK" w:eastAsia="方正小标宋_GBK" w:cs="方正小标宋_GBK"/>
          <w:b/>
          <w:bCs/>
          <w:color w:val="000000"/>
          <w:sz w:val="40"/>
          <w:szCs w:val="40"/>
        </w:rPr>
      </w:pPr>
    </w:p>
    <w:p>
      <w:pPr>
        <w:spacing w:line="600" w:lineRule="exact"/>
        <w:jc w:val="center"/>
        <w:rPr>
          <w:rFonts w:ascii="方正小标宋_GBK" w:hAnsi="方正小标宋_GBK" w:eastAsia="方正小标宋_GBK" w:cs="方正小标宋_GBK"/>
          <w:b/>
          <w:bCs/>
          <w:color w:val="000000"/>
          <w:sz w:val="40"/>
          <w:szCs w:val="40"/>
        </w:rPr>
      </w:pPr>
      <w:r>
        <w:rPr>
          <w:rFonts w:hint="eastAsia" w:ascii="方正小标宋_GBK" w:hAnsi="方正小标宋_GBK" w:eastAsia="方正小标宋_GBK" w:cs="方正小标宋_GBK"/>
          <w:b/>
          <w:bCs/>
          <w:color w:val="000000"/>
          <w:sz w:val="40"/>
          <w:szCs w:val="40"/>
        </w:rPr>
        <w:t>武汉市工程勘察设计产业发展“十四五”规划</w:t>
      </w: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rPr>
          <w:rFonts w:ascii="仿宋" w:hAnsi="仿宋" w:eastAsia="仿宋"/>
          <w:color w:val="000000"/>
          <w:sz w:val="30"/>
          <w:szCs w:val="30"/>
        </w:rPr>
      </w:pP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武汉市城乡建设局</w:t>
      </w:r>
    </w:p>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2022年6月</w:t>
      </w:r>
    </w:p>
    <w:p>
      <w:pPr>
        <w:rPr>
          <w:rFonts w:ascii="仿宋" w:hAnsi="仿宋" w:eastAsia="仿宋"/>
          <w:color w:val="000000"/>
          <w:sz w:val="30"/>
          <w:szCs w:val="30"/>
        </w:rPr>
        <w:sectPr>
          <w:headerReference r:id="rId5" w:type="first"/>
          <w:footerReference r:id="rId7" w:type="first"/>
          <w:headerReference r:id="rId4" w:type="default"/>
          <w:footerReference r:id="rId6" w:type="default"/>
          <w:pgSz w:w="11906" w:h="16838"/>
          <w:pgMar w:top="1440" w:right="1800" w:bottom="1440" w:left="1800" w:header="851" w:footer="992" w:gutter="0"/>
          <w:cols w:space="720" w:num="1"/>
          <w:titlePg/>
          <w:docGrid w:type="lines" w:linePitch="312" w:charSpace="0"/>
        </w:sectPr>
      </w:pPr>
    </w:p>
    <w:p>
      <w:pPr>
        <w:jc w:val="center"/>
        <w:rPr>
          <w:rFonts w:ascii="黑体" w:hAnsi="黑体" w:eastAsia="黑体" w:cs="黑体"/>
          <w:color w:val="000000"/>
          <w:sz w:val="40"/>
          <w:szCs w:val="40"/>
        </w:rPr>
      </w:pPr>
      <w:r>
        <w:rPr>
          <w:rFonts w:hint="eastAsia" w:ascii="黑体" w:hAnsi="黑体" w:eastAsia="黑体" w:cs="黑体"/>
          <w:color w:val="000000"/>
          <w:sz w:val="40"/>
          <w:szCs w:val="40"/>
        </w:rPr>
        <w:t>目  录</w:t>
      </w:r>
    </w:p>
    <w:p>
      <w:pPr>
        <w:rPr>
          <w:rFonts w:ascii="仿宋" w:hAnsi="仿宋" w:eastAsia="仿宋"/>
          <w:b/>
          <w:bCs/>
          <w:color w:val="000000"/>
          <w:sz w:val="32"/>
          <w:szCs w:val="32"/>
        </w:rPr>
      </w:pPr>
    </w:p>
    <w:p>
      <w:pPr>
        <w:pStyle w:val="13"/>
        <w:tabs>
          <w:tab w:val="right" w:leader="dot" w:pos="8296"/>
        </w:tabs>
        <w:rPr>
          <w:rFonts w:ascii="楷体" w:hAnsi="楷体" w:eastAsia="楷体" w:cstheme="minorBidi"/>
          <w:sz w:val="32"/>
          <w:szCs w:val="32"/>
        </w:rPr>
      </w:pPr>
      <w:r>
        <w:rPr>
          <w:rFonts w:hint="eastAsia" w:ascii="楷体" w:hAnsi="楷体" w:eastAsia="楷体" w:cs="楷体"/>
          <w:color w:val="000000"/>
          <w:sz w:val="32"/>
          <w:szCs w:val="32"/>
        </w:rPr>
        <w:fldChar w:fldCharType="begin"/>
      </w:r>
      <w:r>
        <w:rPr>
          <w:rFonts w:hint="eastAsia" w:ascii="楷体" w:hAnsi="楷体" w:eastAsia="楷体" w:cs="楷体"/>
          <w:color w:val="000000"/>
          <w:sz w:val="32"/>
          <w:szCs w:val="32"/>
        </w:rPr>
        <w:instrText xml:space="preserve"> TOC \o "1-2" \h \z \u </w:instrText>
      </w:r>
      <w:r>
        <w:rPr>
          <w:rFonts w:hint="eastAsia" w:ascii="楷体" w:hAnsi="楷体" w:eastAsia="楷体" w:cs="楷体"/>
          <w:color w:val="000000"/>
          <w:sz w:val="32"/>
          <w:szCs w:val="32"/>
        </w:rPr>
        <w:fldChar w:fldCharType="separate"/>
      </w:r>
      <w:r>
        <w:fldChar w:fldCharType="begin"/>
      </w:r>
      <w:r>
        <w:instrText xml:space="preserve"> HYPERLINK \l "_Toc106289687" </w:instrText>
      </w:r>
      <w:r>
        <w:fldChar w:fldCharType="separate"/>
      </w:r>
      <w:r>
        <w:rPr>
          <w:rStyle w:val="18"/>
          <w:rFonts w:ascii="楷体" w:hAnsi="楷体" w:eastAsia="楷体" w:cs="黑体"/>
          <w:sz w:val="32"/>
          <w:szCs w:val="32"/>
        </w:rPr>
        <w:t>前  言</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_Toc106289687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"_Toc106289688" </w:instrText>
      </w:r>
      <w:r>
        <w:fldChar w:fldCharType="separate"/>
      </w:r>
      <w:r>
        <w:rPr>
          <w:rStyle w:val="18"/>
          <w:rFonts w:ascii="楷体" w:hAnsi="楷体" w:eastAsia="楷体"/>
          <w:sz w:val="32"/>
          <w:szCs w:val="32"/>
        </w:rPr>
        <w:t>（一）编制背景</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_Toc106289688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"_Toc106289689" </w:instrText>
      </w:r>
      <w:r>
        <w:fldChar w:fldCharType="separate"/>
      </w:r>
      <w:r>
        <w:rPr>
          <w:rStyle w:val="18"/>
          <w:rFonts w:ascii="楷体" w:hAnsi="楷体" w:eastAsia="楷体"/>
          <w:sz w:val="32"/>
          <w:szCs w:val="32"/>
        </w:rPr>
        <w:t>（二）规划范围</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_Toc106289689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"_Toc106289690" </w:instrText>
      </w:r>
      <w:r>
        <w:fldChar w:fldCharType="separate"/>
      </w:r>
      <w:r>
        <w:rPr>
          <w:rStyle w:val="18"/>
          <w:rFonts w:ascii="楷体" w:hAnsi="楷体" w:eastAsia="楷体"/>
          <w:sz w:val="32"/>
          <w:szCs w:val="32"/>
        </w:rPr>
        <w:t>（三）规划领域</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_Toc106289690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"_Toc106289691" </w:instrText>
      </w:r>
      <w:r>
        <w:fldChar w:fldCharType="separate"/>
      </w:r>
      <w:r>
        <w:rPr>
          <w:rStyle w:val="18"/>
          <w:rFonts w:ascii="楷体" w:hAnsi="楷体" w:eastAsia="楷体"/>
          <w:sz w:val="32"/>
          <w:szCs w:val="32"/>
        </w:rPr>
        <w:t>（四）规划年限</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_Toc106289691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"_Toc106289692" </w:instrText>
      </w:r>
      <w:r>
        <w:fldChar w:fldCharType="separate"/>
      </w:r>
      <w:r>
        <w:rPr>
          <w:rStyle w:val="18"/>
          <w:rFonts w:ascii="楷体" w:hAnsi="楷体" w:eastAsia="楷体"/>
          <w:sz w:val="32"/>
          <w:szCs w:val="32"/>
        </w:rPr>
        <w:t>（五）规划依据</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_Toc106289692 \h </w:instrText>
      </w:r>
      <w:r>
        <w:rPr>
          <w:rFonts w:ascii="楷体" w:hAnsi="楷体" w:eastAsia="楷体"/>
          <w:sz w:val="32"/>
          <w:szCs w:val="32"/>
        </w:rPr>
        <w:fldChar w:fldCharType="separate"/>
      </w:r>
      <w:r>
        <w:rPr>
          <w:rFonts w:ascii="楷体" w:hAnsi="楷体" w:eastAsia="楷体"/>
          <w:sz w:val="32"/>
          <w:szCs w:val="32"/>
        </w:rPr>
        <w:t>1</w:t>
      </w:r>
      <w:r>
        <w:rPr>
          <w:rFonts w:ascii="楷体" w:hAnsi="楷体" w:eastAsia="楷体"/>
          <w:sz w:val="32"/>
          <w:szCs w:val="32"/>
        </w:rPr>
        <w:fldChar w:fldCharType="end"/>
      </w:r>
      <w:r>
        <w:rPr>
          <w:rFonts w:ascii="楷体" w:hAnsi="楷体" w:eastAsia="楷体"/>
          <w:sz w:val="32"/>
          <w:szCs w:val="32"/>
        </w:rPr>
        <w:fldChar w:fldCharType="end"/>
      </w:r>
    </w:p>
    <w:p>
      <w:pPr>
        <w:pStyle w:val="13"/>
        <w:tabs>
          <w:tab w:val="right" w:leader="dot" w:pos="8296"/>
        </w:tabs>
        <w:rPr>
          <w:rFonts w:ascii="楷体" w:hAnsi="楷体" w:eastAsia="楷体" w:cstheme="minorBidi"/>
          <w:sz w:val="32"/>
          <w:szCs w:val="32"/>
        </w:rPr>
      </w:pPr>
      <w:r>
        <w:fldChar w:fldCharType="begin"/>
      </w:r>
      <w:r>
        <w:instrText xml:space="preserve"> HYPERLINK \l "_Toc106289693" </w:instrText>
      </w:r>
      <w:r>
        <w:fldChar w:fldCharType="separate"/>
      </w:r>
      <w:r>
        <w:rPr>
          <w:rStyle w:val="18"/>
          <w:rFonts w:ascii="楷体" w:hAnsi="楷体" w:eastAsia="楷体" w:cs="黑体"/>
          <w:sz w:val="32"/>
          <w:szCs w:val="32"/>
        </w:rPr>
        <w:t>一、发展基础</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_Toc106289693 \h </w:instrText>
      </w:r>
      <w:r>
        <w:rPr>
          <w:rFonts w:ascii="楷体" w:hAnsi="楷体" w:eastAsia="楷体"/>
          <w:sz w:val="32"/>
          <w:szCs w:val="32"/>
        </w:rPr>
        <w:fldChar w:fldCharType="separate"/>
      </w:r>
      <w:r>
        <w:rPr>
          <w:rFonts w:ascii="楷体" w:hAnsi="楷体" w:eastAsia="楷体"/>
          <w:sz w:val="32"/>
          <w:szCs w:val="32"/>
        </w:rPr>
        <w:t>3</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"_Toc106289694" </w:instrText>
      </w:r>
      <w:r>
        <w:fldChar w:fldCharType="separate"/>
      </w:r>
      <w:r>
        <w:rPr>
          <w:rStyle w:val="18"/>
          <w:rFonts w:ascii="楷体" w:hAnsi="楷体" w:eastAsia="楷体"/>
          <w:sz w:val="32"/>
          <w:szCs w:val="32"/>
        </w:rPr>
        <w:t>（一）发展成就</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_Toc106289694 \h </w:instrText>
      </w:r>
      <w:r>
        <w:rPr>
          <w:rFonts w:ascii="楷体" w:hAnsi="楷体" w:eastAsia="楷体"/>
          <w:sz w:val="32"/>
          <w:szCs w:val="32"/>
        </w:rPr>
        <w:fldChar w:fldCharType="separate"/>
      </w:r>
      <w:r>
        <w:rPr>
          <w:rFonts w:ascii="楷体" w:hAnsi="楷体" w:eastAsia="楷体"/>
          <w:sz w:val="32"/>
          <w:szCs w:val="32"/>
        </w:rPr>
        <w:t>3</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"_Toc106289695" </w:instrText>
      </w:r>
      <w:r>
        <w:fldChar w:fldCharType="separate"/>
      </w:r>
      <w:r>
        <w:rPr>
          <w:rStyle w:val="18"/>
          <w:rFonts w:ascii="楷体" w:hAnsi="楷体" w:eastAsia="楷体"/>
          <w:sz w:val="32"/>
          <w:szCs w:val="32"/>
        </w:rPr>
        <w:t>（二）主要问题</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_Toc106289695 \h </w:instrText>
      </w:r>
      <w:r>
        <w:rPr>
          <w:rFonts w:ascii="楷体" w:hAnsi="楷体" w:eastAsia="楷体"/>
          <w:sz w:val="32"/>
          <w:szCs w:val="32"/>
        </w:rPr>
        <w:fldChar w:fldCharType="separate"/>
      </w:r>
      <w:r>
        <w:rPr>
          <w:rFonts w:ascii="楷体" w:hAnsi="楷体" w:eastAsia="楷体"/>
          <w:sz w:val="32"/>
          <w:szCs w:val="32"/>
        </w:rPr>
        <w:t>9</w:t>
      </w:r>
      <w:r>
        <w:rPr>
          <w:rFonts w:ascii="楷体" w:hAnsi="楷体" w:eastAsia="楷体"/>
          <w:sz w:val="32"/>
          <w:szCs w:val="32"/>
        </w:rPr>
        <w:fldChar w:fldCharType="end"/>
      </w:r>
      <w:r>
        <w:rPr>
          <w:rFonts w:ascii="楷体" w:hAnsi="楷体" w:eastAsia="楷体"/>
          <w:sz w:val="32"/>
          <w:szCs w:val="32"/>
        </w:rPr>
        <w:fldChar w:fldCharType="end"/>
      </w:r>
    </w:p>
    <w:p>
      <w:pPr>
        <w:pStyle w:val="13"/>
        <w:tabs>
          <w:tab w:val="right" w:leader="dot" w:pos="8296"/>
        </w:tabs>
        <w:rPr>
          <w:rFonts w:ascii="楷体" w:hAnsi="楷体" w:eastAsia="楷体" w:cstheme="minorBidi"/>
          <w:sz w:val="32"/>
          <w:szCs w:val="32"/>
        </w:rPr>
      </w:pPr>
      <w:r>
        <w:fldChar w:fldCharType="begin"/>
      </w:r>
      <w:r>
        <w:instrText xml:space="preserve"> HYPERLINK \l "_Toc106289696" </w:instrText>
      </w:r>
      <w:r>
        <w:fldChar w:fldCharType="separate"/>
      </w:r>
      <w:r>
        <w:rPr>
          <w:rStyle w:val="18"/>
          <w:rFonts w:ascii="楷体" w:hAnsi="楷体" w:eastAsia="楷体" w:cs="黑体"/>
          <w:sz w:val="32"/>
          <w:szCs w:val="32"/>
        </w:rPr>
        <w:t>二、机遇与挑战</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_Toc106289696 \h </w:instrText>
      </w:r>
      <w:r>
        <w:rPr>
          <w:rFonts w:ascii="楷体" w:hAnsi="楷体" w:eastAsia="楷体"/>
          <w:sz w:val="32"/>
          <w:szCs w:val="32"/>
        </w:rPr>
        <w:fldChar w:fldCharType="separate"/>
      </w:r>
      <w:r>
        <w:rPr>
          <w:rFonts w:ascii="楷体" w:hAnsi="楷体" w:eastAsia="楷体"/>
          <w:sz w:val="32"/>
          <w:szCs w:val="32"/>
        </w:rPr>
        <w:t>10</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"_Toc106289697" </w:instrText>
      </w:r>
      <w:r>
        <w:fldChar w:fldCharType="separate"/>
      </w:r>
      <w:r>
        <w:rPr>
          <w:rStyle w:val="18"/>
          <w:rFonts w:ascii="楷体" w:hAnsi="楷体" w:eastAsia="楷体"/>
          <w:sz w:val="32"/>
          <w:szCs w:val="32"/>
        </w:rPr>
        <w:t>（一）发展机遇</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_Toc106289697 \h </w:instrText>
      </w:r>
      <w:r>
        <w:rPr>
          <w:rFonts w:ascii="楷体" w:hAnsi="楷体" w:eastAsia="楷体"/>
          <w:sz w:val="32"/>
          <w:szCs w:val="32"/>
        </w:rPr>
        <w:fldChar w:fldCharType="separate"/>
      </w:r>
      <w:r>
        <w:rPr>
          <w:rFonts w:ascii="楷体" w:hAnsi="楷体" w:eastAsia="楷体"/>
          <w:sz w:val="32"/>
          <w:szCs w:val="32"/>
        </w:rPr>
        <w:t>11</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"_Toc106289698" </w:instrText>
      </w:r>
      <w:r>
        <w:fldChar w:fldCharType="separate"/>
      </w:r>
      <w:r>
        <w:rPr>
          <w:rStyle w:val="18"/>
          <w:rFonts w:ascii="楷体" w:hAnsi="楷体" w:eastAsia="楷体"/>
          <w:sz w:val="32"/>
          <w:szCs w:val="32"/>
        </w:rPr>
        <w:t>（二）面临挑战</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_Toc106289698 \h </w:instrText>
      </w:r>
      <w:r>
        <w:rPr>
          <w:rFonts w:ascii="楷体" w:hAnsi="楷体" w:eastAsia="楷体"/>
          <w:sz w:val="32"/>
          <w:szCs w:val="32"/>
        </w:rPr>
        <w:fldChar w:fldCharType="separate"/>
      </w:r>
      <w:r>
        <w:rPr>
          <w:rFonts w:ascii="楷体" w:hAnsi="楷体" w:eastAsia="楷体"/>
          <w:sz w:val="32"/>
          <w:szCs w:val="32"/>
        </w:rPr>
        <w:t>12</w:t>
      </w:r>
      <w:r>
        <w:rPr>
          <w:rFonts w:ascii="楷体" w:hAnsi="楷体" w:eastAsia="楷体"/>
          <w:sz w:val="32"/>
          <w:szCs w:val="32"/>
        </w:rPr>
        <w:fldChar w:fldCharType="end"/>
      </w:r>
      <w:r>
        <w:rPr>
          <w:rFonts w:ascii="楷体" w:hAnsi="楷体" w:eastAsia="楷体"/>
          <w:sz w:val="32"/>
          <w:szCs w:val="32"/>
        </w:rPr>
        <w:fldChar w:fldCharType="end"/>
      </w:r>
    </w:p>
    <w:p>
      <w:pPr>
        <w:pStyle w:val="13"/>
        <w:tabs>
          <w:tab w:val="right" w:leader="dot" w:pos="8296"/>
        </w:tabs>
        <w:rPr>
          <w:rFonts w:ascii="楷体" w:hAnsi="楷体" w:eastAsia="楷体" w:cstheme="minorBidi"/>
          <w:sz w:val="32"/>
          <w:szCs w:val="32"/>
        </w:rPr>
      </w:pPr>
      <w:r>
        <w:fldChar w:fldCharType="begin"/>
      </w:r>
      <w:r>
        <w:instrText xml:space="preserve"> HYPERLINK \l "_Toc106289699" </w:instrText>
      </w:r>
      <w:r>
        <w:fldChar w:fldCharType="separate"/>
      </w:r>
      <w:r>
        <w:rPr>
          <w:rStyle w:val="18"/>
          <w:rFonts w:ascii="楷体" w:hAnsi="楷体" w:eastAsia="楷体" w:cs="黑体"/>
          <w:sz w:val="32"/>
          <w:szCs w:val="32"/>
        </w:rPr>
        <w:t>三、发展思路</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_Toc106289699 \h </w:instrText>
      </w:r>
      <w:r>
        <w:rPr>
          <w:rFonts w:ascii="楷体" w:hAnsi="楷体" w:eastAsia="楷体"/>
          <w:sz w:val="32"/>
          <w:szCs w:val="32"/>
        </w:rPr>
        <w:fldChar w:fldCharType="separate"/>
      </w:r>
      <w:r>
        <w:rPr>
          <w:rFonts w:ascii="楷体" w:hAnsi="楷体" w:eastAsia="楷体"/>
          <w:sz w:val="32"/>
          <w:szCs w:val="32"/>
        </w:rPr>
        <w:t>13</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"_Toc106289700" </w:instrText>
      </w:r>
      <w:r>
        <w:fldChar w:fldCharType="separate"/>
      </w:r>
      <w:r>
        <w:rPr>
          <w:rStyle w:val="18"/>
          <w:rFonts w:ascii="楷体" w:hAnsi="楷体" w:eastAsia="楷体"/>
          <w:sz w:val="32"/>
          <w:szCs w:val="32"/>
        </w:rPr>
        <w:t>（一）指导思想</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_Toc106289700 \h </w:instrText>
      </w:r>
      <w:r>
        <w:rPr>
          <w:rFonts w:ascii="楷体" w:hAnsi="楷体" w:eastAsia="楷体"/>
          <w:sz w:val="32"/>
          <w:szCs w:val="32"/>
        </w:rPr>
        <w:fldChar w:fldCharType="separate"/>
      </w:r>
      <w:r>
        <w:rPr>
          <w:rFonts w:ascii="楷体" w:hAnsi="楷体" w:eastAsia="楷体"/>
          <w:sz w:val="32"/>
          <w:szCs w:val="32"/>
        </w:rPr>
        <w:t>13</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"_Toc106289701" </w:instrText>
      </w:r>
      <w:r>
        <w:fldChar w:fldCharType="separate"/>
      </w:r>
      <w:r>
        <w:rPr>
          <w:rStyle w:val="18"/>
          <w:rFonts w:ascii="楷体" w:hAnsi="楷体" w:eastAsia="楷体"/>
          <w:sz w:val="32"/>
          <w:szCs w:val="32"/>
        </w:rPr>
        <w:t>（二）基本原则</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_Toc106289701 \h </w:instrText>
      </w:r>
      <w:r>
        <w:rPr>
          <w:rFonts w:ascii="楷体" w:hAnsi="楷体" w:eastAsia="楷体"/>
          <w:sz w:val="32"/>
          <w:szCs w:val="32"/>
        </w:rPr>
        <w:fldChar w:fldCharType="separate"/>
      </w:r>
      <w:r>
        <w:rPr>
          <w:rFonts w:ascii="楷体" w:hAnsi="楷体" w:eastAsia="楷体"/>
          <w:sz w:val="32"/>
          <w:szCs w:val="32"/>
        </w:rPr>
        <w:t>14</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"_Toc106289702" </w:instrText>
      </w:r>
      <w:r>
        <w:fldChar w:fldCharType="separate"/>
      </w:r>
      <w:r>
        <w:rPr>
          <w:rStyle w:val="18"/>
          <w:rFonts w:ascii="楷体" w:hAnsi="楷体" w:eastAsia="楷体"/>
          <w:sz w:val="32"/>
          <w:szCs w:val="32"/>
        </w:rPr>
        <w:t>（三）发展目标</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_Toc106289702 \h </w:instrText>
      </w:r>
      <w:r>
        <w:rPr>
          <w:rFonts w:ascii="楷体" w:hAnsi="楷体" w:eastAsia="楷体"/>
          <w:sz w:val="32"/>
          <w:szCs w:val="32"/>
        </w:rPr>
        <w:fldChar w:fldCharType="separate"/>
      </w:r>
      <w:r>
        <w:rPr>
          <w:rFonts w:ascii="楷体" w:hAnsi="楷体" w:eastAsia="楷体"/>
          <w:sz w:val="32"/>
          <w:szCs w:val="32"/>
        </w:rPr>
        <w:t>15</w:t>
      </w:r>
      <w:r>
        <w:rPr>
          <w:rFonts w:ascii="楷体" w:hAnsi="楷体" w:eastAsia="楷体"/>
          <w:sz w:val="32"/>
          <w:szCs w:val="32"/>
        </w:rPr>
        <w:fldChar w:fldCharType="end"/>
      </w:r>
      <w:r>
        <w:rPr>
          <w:rFonts w:ascii="楷体" w:hAnsi="楷体" w:eastAsia="楷体"/>
          <w:sz w:val="32"/>
          <w:szCs w:val="32"/>
        </w:rPr>
        <w:fldChar w:fldCharType="end"/>
      </w:r>
    </w:p>
    <w:p>
      <w:pPr>
        <w:pStyle w:val="13"/>
        <w:tabs>
          <w:tab w:val="right" w:leader="dot" w:pos="8296"/>
        </w:tabs>
        <w:rPr>
          <w:rFonts w:ascii="楷体" w:hAnsi="楷体" w:eastAsia="楷体" w:cstheme="minorBidi"/>
          <w:sz w:val="32"/>
          <w:szCs w:val="32"/>
        </w:rPr>
      </w:pPr>
      <w:r>
        <w:fldChar w:fldCharType="begin"/>
      </w:r>
      <w:r>
        <w:instrText xml:space="preserve"> HYPERLINK \l "_Toc106289703" </w:instrText>
      </w:r>
      <w:r>
        <w:fldChar w:fldCharType="separate"/>
      </w:r>
      <w:r>
        <w:rPr>
          <w:rStyle w:val="18"/>
          <w:rFonts w:ascii="楷体" w:hAnsi="楷体" w:eastAsia="楷体" w:cs="黑体"/>
          <w:sz w:val="32"/>
          <w:szCs w:val="32"/>
        </w:rPr>
        <w:t>四、主要任务</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_Toc106289703 \h </w:instrText>
      </w:r>
      <w:r>
        <w:rPr>
          <w:rFonts w:ascii="楷体" w:hAnsi="楷体" w:eastAsia="楷体"/>
          <w:sz w:val="32"/>
          <w:szCs w:val="32"/>
        </w:rPr>
        <w:fldChar w:fldCharType="separate"/>
      </w:r>
      <w:r>
        <w:rPr>
          <w:rFonts w:ascii="楷体" w:hAnsi="楷体" w:eastAsia="楷体"/>
          <w:sz w:val="32"/>
          <w:szCs w:val="32"/>
        </w:rPr>
        <w:t>16</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"_Toc106289704" </w:instrText>
      </w:r>
      <w:r>
        <w:fldChar w:fldCharType="separate"/>
      </w:r>
      <w:r>
        <w:rPr>
          <w:rStyle w:val="18"/>
          <w:rFonts w:ascii="楷体" w:hAnsi="楷体" w:eastAsia="楷体"/>
          <w:sz w:val="32"/>
          <w:szCs w:val="32"/>
        </w:rPr>
        <w:t>（一）积极优化产业体系</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_Toc106289704 \h </w:instrText>
      </w:r>
      <w:r>
        <w:rPr>
          <w:rFonts w:ascii="楷体" w:hAnsi="楷体" w:eastAsia="楷体"/>
          <w:sz w:val="32"/>
          <w:szCs w:val="32"/>
        </w:rPr>
        <w:fldChar w:fldCharType="separate"/>
      </w:r>
      <w:r>
        <w:rPr>
          <w:rFonts w:ascii="楷体" w:hAnsi="楷体" w:eastAsia="楷体"/>
          <w:sz w:val="32"/>
          <w:szCs w:val="32"/>
        </w:rPr>
        <w:t>16</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"_Toc106289705" </w:instrText>
      </w:r>
      <w:r>
        <w:fldChar w:fldCharType="separate"/>
      </w:r>
      <w:r>
        <w:rPr>
          <w:rStyle w:val="18"/>
          <w:rFonts w:ascii="楷体" w:hAnsi="楷体" w:eastAsia="楷体"/>
          <w:sz w:val="32"/>
          <w:szCs w:val="32"/>
        </w:rPr>
        <w:t>（二）培育多层次的市场主体</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_Toc106289705 \h </w:instrText>
      </w:r>
      <w:r>
        <w:rPr>
          <w:rFonts w:ascii="楷体" w:hAnsi="楷体" w:eastAsia="楷体"/>
          <w:sz w:val="32"/>
          <w:szCs w:val="32"/>
        </w:rPr>
        <w:fldChar w:fldCharType="separate"/>
      </w:r>
      <w:r>
        <w:rPr>
          <w:rFonts w:ascii="楷体" w:hAnsi="楷体" w:eastAsia="楷体"/>
          <w:sz w:val="32"/>
          <w:szCs w:val="32"/>
        </w:rPr>
        <w:t>18</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"_Toc106289706" </w:instrText>
      </w:r>
      <w:r>
        <w:fldChar w:fldCharType="separate"/>
      </w:r>
      <w:r>
        <w:rPr>
          <w:rStyle w:val="18"/>
          <w:rFonts w:ascii="楷体" w:hAnsi="楷体" w:eastAsia="楷体"/>
          <w:sz w:val="32"/>
          <w:szCs w:val="32"/>
        </w:rPr>
        <w:t>（三）加快产业数字化转型</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_Toc106289706 \h </w:instrText>
      </w:r>
      <w:r>
        <w:rPr>
          <w:rFonts w:ascii="楷体" w:hAnsi="楷体" w:eastAsia="楷体"/>
          <w:sz w:val="32"/>
          <w:szCs w:val="32"/>
        </w:rPr>
        <w:fldChar w:fldCharType="separate"/>
      </w:r>
      <w:r>
        <w:rPr>
          <w:rFonts w:ascii="楷体" w:hAnsi="楷体" w:eastAsia="楷体"/>
          <w:sz w:val="32"/>
          <w:szCs w:val="32"/>
        </w:rPr>
        <w:t>19</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"_Toc106289707" </w:instrText>
      </w:r>
      <w:r>
        <w:fldChar w:fldCharType="separate"/>
      </w:r>
      <w:r>
        <w:rPr>
          <w:rStyle w:val="18"/>
          <w:rFonts w:ascii="楷体" w:hAnsi="楷体" w:eastAsia="楷体"/>
          <w:sz w:val="32"/>
          <w:szCs w:val="32"/>
        </w:rPr>
        <w:t>（四）进一步提升“武汉设计”品牌影响力</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_Toc106289707 \h </w:instrText>
      </w:r>
      <w:r>
        <w:rPr>
          <w:rFonts w:ascii="楷体" w:hAnsi="楷体" w:eastAsia="楷体"/>
          <w:sz w:val="32"/>
          <w:szCs w:val="32"/>
        </w:rPr>
        <w:fldChar w:fldCharType="separate"/>
      </w:r>
      <w:r>
        <w:rPr>
          <w:rFonts w:ascii="楷体" w:hAnsi="楷体" w:eastAsia="楷体"/>
          <w:sz w:val="32"/>
          <w:szCs w:val="32"/>
        </w:rPr>
        <w:t>21</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"_Toc106289708" </w:instrText>
      </w:r>
      <w:r>
        <w:fldChar w:fldCharType="separate"/>
      </w:r>
      <w:r>
        <w:rPr>
          <w:rStyle w:val="18"/>
          <w:rFonts w:ascii="楷体" w:hAnsi="楷体" w:eastAsia="楷体"/>
          <w:sz w:val="32"/>
          <w:szCs w:val="32"/>
        </w:rPr>
        <w:t>（五）打造工程勘察设计产业人才高地</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_Toc106289708 \h </w:instrText>
      </w:r>
      <w:r>
        <w:rPr>
          <w:rFonts w:ascii="楷体" w:hAnsi="楷体" w:eastAsia="楷体"/>
          <w:sz w:val="32"/>
          <w:szCs w:val="32"/>
        </w:rPr>
        <w:fldChar w:fldCharType="separate"/>
      </w:r>
      <w:r>
        <w:rPr>
          <w:rFonts w:ascii="楷体" w:hAnsi="楷体" w:eastAsia="楷体"/>
          <w:sz w:val="32"/>
          <w:szCs w:val="32"/>
        </w:rPr>
        <w:t>22</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"_Toc106289709" </w:instrText>
      </w:r>
      <w:r>
        <w:fldChar w:fldCharType="separate"/>
      </w:r>
      <w:r>
        <w:rPr>
          <w:rStyle w:val="18"/>
          <w:rFonts w:ascii="楷体" w:hAnsi="楷体" w:eastAsia="楷体"/>
          <w:sz w:val="32"/>
          <w:szCs w:val="32"/>
        </w:rPr>
        <w:t>（六）主动融入国内</w:t>
      </w:r>
      <w:r>
        <w:rPr>
          <w:rStyle w:val="18"/>
          <w:rFonts w:hint="eastAsia" w:ascii="楷体" w:hAnsi="楷体" w:eastAsia="楷体"/>
          <w:sz w:val="32"/>
          <w:szCs w:val="32"/>
        </w:rPr>
        <w:t>国际</w:t>
      </w:r>
      <w:r>
        <w:rPr>
          <w:rStyle w:val="18"/>
          <w:rFonts w:ascii="楷体" w:hAnsi="楷体" w:eastAsia="楷体"/>
          <w:sz w:val="32"/>
          <w:szCs w:val="32"/>
        </w:rPr>
        <w:t>“双循环”战略</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_Toc106289709 \h </w:instrText>
      </w:r>
      <w:r>
        <w:rPr>
          <w:rFonts w:ascii="楷体" w:hAnsi="楷体" w:eastAsia="楷体"/>
          <w:sz w:val="32"/>
          <w:szCs w:val="32"/>
        </w:rPr>
        <w:fldChar w:fldCharType="separate"/>
      </w:r>
      <w:r>
        <w:rPr>
          <w:rFonts w:ascii="楷体" w:hAnsi="楷体" w:eastAsia="楷体"/>
          <w:sz w:val="32"/>
          <w:szCs w:val="32"/>
        </w:rPr>
        <w:t>23</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"_Toc106289710" </w:instrText>
      </w:r>
      <w:r>
        <w:fldChar w:fldCharType="separate"/>
      </w:r>
      <w:r>
        <w:rPr>
          <w:rStyle w:val="18"/>
          <w:rFonts w:ascii="楷体" w:hAnsi="楷体" w:eastAsia="楷体"/>
          <w:sz w:val="32"/>
          <w:szCs w:val="32"/>
        </w:rPr>
        <w:t>（七）推进产城全面融合发展</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_Toc106289710 \h </w:instrText>
      </w:r>
      <w:r>
        <w:rPr>
          <w:rFonts w:ascii="楷体" w:hAnsi="楷体" w:eastAsia="楷体"/>
          <w:sz w:val="32"/>
          <w:szCs w:val="32"/>
        </w:rPr>
        <w:fldChar w:fldCharType="separate"/>
      </w:r>
      <w:r>
        <w:rPr>
          <w:rFonts w:ascii="楷体" w:hAnsi="楷体" w:eastAsia="楷体"/>
          <w:sz w:val="32"/>
          <w:szCs w:val="32"/>
        </w:rPr>
        <w:t>24</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"_Toc106289711" </w:instrText>
      </w:r>
      <w:r>
        <w:fldChar w:fldCharType="separate"/>
      </w:r>
      <w:r>
        <w:rPr>
          <w:rStyle w:val="18"/>
          <w:rFonts w:ascii="楷体" w:hAnsi="楷体" w:eastAsia="楷体"/>
          <w:sz w:val="32"/>
          <w:szCs w:val="32"/>
        </w:rPr>
        <w:t>（八）深入推动“放管服”改革</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_Toc106289711 \h </w:instrText>
      </w:r>
      <w:r>
        <w:rPr>
          <w:rFonts w:ascii="楷体" w:hAnsi="楷体" w:eastAsia="楷体"/>
          <w:sz w:val="32"/>
          <w:szCs w:val="32"/>
        </w:rPr>
        <w:fldChar w:fldCharType="separate"/>
      </w:r>
      <w:r>
        <w:rPr>
          <w:rFonts w:ascii="楷体" w:hAnsi="楷体" w:eastAsia="楷体"/>
          <w:sz w:val="32"/>
          <w:szCs w:val="32"/>
        </w:rPr>
        <w:t>25</w:t>
      </w:r>
      <w:r>
        <w:rPr>
          <w:rFonts w:ascii="楷体" w:hAnsi="楷体" w:eastAsia="楷体"/>
          <w:sz w:val="32"/>
          <w:szCs w:val="32"/>
        </w:rPr>
        <w:fldChar w:fldCharType="end"/>
      </w:r>
      <w:r>
        <w:rPr>
          <w:rFonts w:ascii="楷体" w:hAnsi="楷体" w:eastAsia="楷体"/>
          <w:sz w:val="32"/>
          <w:szCs w:val="32"/>
        </w:rPr>
        <w:fldChar w:fldCharType="end"/>
      </w:r>
    </w:p>
    <w:p>
      <w:pPr>
        <w:pStyle w:val="13"/>
        <w:tabs>
          <w:tab w:val="right" w:leader="dot" w:pos="8296"/>
        </w:tabs>
        <w:rPr>
          <w:rFonts w:ascii="楷体" w:hAnsi="楷体" w:eastAsia="楷体" w:cstheme="minorBidi"/>
          <w:sz w:val="32"/>
          <w:szCs w:val="32"/>
        </w:rPr>
      </w:pPr>
      <w:r>
        <w:fldChar w:fldCharType="begin"/>
      </w:r>
      <w:r>
        <w:instrText xml:space="preserve"> HYPERLINK \l "_Toc106289712" </w:instrText>
      </w:r>
      <w:r>
        <w:fldChar w:fldCharType="separate"/>
      </w:r>
      <w:r>
        <w:rPr>
          <w:rStyle w:val="18"/>
          <w:rFonts w:ascii="楷体" w:hAnsi="楷体" w:eastAsia="楷体" w:cs="黑体"/>
          <w:sz w:val="32"/>
          <w:szCs w:val="32"/>
        </w:rPr>
        <w:t>五、保障措施</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_Toc106289712 \h </w:instrText>
      </w:r>
      <w:r>
        <w:rPr>
          <w:rFonts w:ascii="楷体" w:hAnsi="楷体" w:eastAsia="楷体"/>
          <w:sz w:val="32"/>
          <w:szCs w:val="32"/>
        </w:rPr>
        <w:fldChar w:fldCharType="separate"/>
      </w:r>
      <w:r>
        <w:rPr>
          <w:rFonts w:ascii="楷体" w:hAnsi="楷体" w:eastAsia="楷体"/>
          <w:sz w:val="32"/>
          <w:szCs w:val="32"/>
        </w:rPr>
        <w:t>26</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"_Toc106289713" </w:instrText>
      </w:r>
      <w:r>
        <w:fldChar w:fldCharType="separate"/>
      </w:r>
      <w:r>
        <w:rPr>
          <w:rStyle w:val="18"/>
          <w:rFonts w:ascii="楷体" w:hAnsi="楷体" w:eastAsia="楷体"/>
          <w:sz w:val="32"/>
          <w:szCs w:val="32"/>
        </w:rPr>
        <w:t>（一）加强规划实施的领导</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_Toc106289713 \h </w:instrText>
      </w:r>
      <w:r>
        <w:rPr>
          <w:rFonts w:ascii="楷体" w:hAnsi="楷体" w:eastAsia="楷体"/>
          <w:sz w:val="32"/>
          <w:szCs w:val="32"/>
        </w:rPr>
        <w:fldChar w:fldCharType="separate"/>
      </w:r>
      <w:r>
        <w:rPr>
          <w:rFonts w:ascii="楷体" w:hAnsi="楷体" w:eastAsia="楷体"/>
          <w:sz w:val="32"/>
          <w:szCs w:val="32"/>
        </w:rPr>
        <w:t>26</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"_Toc106289714" </w:instrText>
      </w:r>
      <w:r>
        <w:fldChar w:fldCharType="separate"/>
      </w:r>
      <w:r>
        <w:rPr>
          <w:rStyle w:val="18"/>
          <w:rFonts w:ascii="楷体" w:hAnsi="楷体" w:eastAsia="楷体"/>
          <w:sz w:val="32"/>
          <w:szCs w:val="32"/>
        </w:rPr>
        <w:t>（二）加快出台和落实支持设计产业发展政策</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_Toc106289714 \h </w:instrText>
      </w:r>
      <w:r>
        <w:rPr>
          <w:rFonts w:ascii="楷体" w:hAnsi="楷体" w:eastAsia="楷体"/>
          <w:sz w:val="32"/>
          <w:szCs w:val="32"/>
        </w:rPr>
        <w:fldChar w:fldCharType="separate"/>
      </w:r>
      <w:r>
        <w:rPr>
          <w:rFonts w:ascii="楷体" w:hAnsi="楷体" w:eastAsia="楷体"/>
          <w:sz w:val="32"/>
          <w:szCs w:val="32"/>
        </w:rPr>
        <w:t>26</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ascii="楷体" w:hAnsi="楷体" w:eastAsia="楷体" w:cstheme="minorBidi"/>
          <w:sz w:val="32"/>
          <w:szCs w:val="32"/>
        </w:rPr>
      </w:pPr>
      <w:r>
        <w:fldChar w:fldCharType="begin"/>
      </w:r>
      <w:r>
        <w:instrText xml:space="preserve"> HYPERLINK \l "_Toc106289715" </w:instrText>
      </w:r>
      <w:r>
        <w:fldChar w:fldCharType="separate"/>
      </w:r>
      <w:r>
        <w:rPr>
          <w:rStyle w:val="18"/>
          <w:rFonts w:ascii="楷体" w:hAnsi="楷体" w:eastAsia="楷体"/>
          <w:sz w:val="32"/>
          <w:szCs w:val="32"/>
        </w:rPr>
        <w:t>（三）加强对各区的统筹和指导</w:t>
      </w:r>
      <w:r>
        <w:rPr>
          <w:rFonts w:ascii="楷体" w:hAnsi="楷体" w:eastAsia="楷体"/>
          <w:sz w:val="32"/>
          <w:szCs w:val="32"/>
        </w:rPr>
        <w:tab/>
      </w:r>
      <w:r>
        <w:rPr>
          <w:rFonts w:ascii="楷体" w:hAnsi="楷体" w:eastAsia="楷体"/>
          <w:sz w:val="32"/>
          <w:szCs w:val="32"/>
        </w:rPr>
        <w:fldChar w:fldCharType="begin"/>
      </w:r>
      <w:r>
        <w:rPr>
          <w:rFonts w:ascii="楷体" w:hAnsi="楷体" w:eastAsia="楷体"/>
          <w:sz w:val="32"/>
          <w:szCs w:val="32"/>
        </w:rPr>
        <w:instrText xml:space="preserve"> PAGEREF _Toc106289715 \h </w:instrText>
      </w:r>
      <w:r>
        <w:rPr>
          <w:rFonts w:ascii="楷体" w:hAnsi="楷体" w:eastAsia="楷体"/>
          <w:sz w:val="32"/>
          <w:szCs w:val="32"/>
        </w:rPr>
        <w:fldChar w:fldCharType="separate"/>
      </w:r>
      <w:r>
        <w:rPr>
          <w:rFonts w:ascii="楷体" w:hAnsi="楷体" w:eastAsia="楷体"/>
          <w:sz w:val="32"/>
          <w:szCs w:val="32"/>
        </w:rPr>
        <w:t>26</w:t>
      </w:r>
      <w:r>
        <w:rPr>
          <w:rFonts w:ascii="楷体" w:hAnsi="楷体" w:eastAsia="楷体"/>
          <w:sz w:val="32"/>
          <w:szCs w:val="32"/>
        </w:rPr>
        <w:fldChar w:fldCharType="end"/>
      </w:r>
      <w:r>
        <w:rPr>
          <w:rFonts w:ascii="楷体" w:hAnsi="楷体" w:eastAsia="楷体"/>
          <w:sz w:val="32"/>
          <w:szCs w:val="32"/>
        </w:rPr>
        <w:fldChar w:fldCharType="end"/>
      </w:r>
    </w:p>
    <w:p>
      <w:pPr>
        <w:pStyle w:val="15"/>
        <w:tabs>
          <w:tab w:val="right" w:leader="dot" w:pos="8296"/>
        </w:tabs>
        <w:rPr>
          <w:rFonts w:hint="eastAsia" w:ascii="楷体" w:hAnsi="楷体" w:eastAsia="楷体" w:cstheme="minorBidi"/>
          <w:sz w:val="32"/>
          <w:szCs w:val="32"/>
          <w:lang w:eastAsia="zh-CN"/>
        </w:rPr>
      </w:pPr>
      <w:r>
        <w:fldChar w:fldCharType="begin"/>
      </w:r>
      <w:r>
        <w:instrText xml:space="preserve"> HYPERLINK \l "_Toc106289716" </w:instrText>
      </w:r>
      <w:r>
        <w:fldChar w:fldCharType="separate"/>
      </w:r>
      <w:r>
        <w:rPr>
          <w:rStyle w:val="18"/>
          <w:rFonts w:ascii="楷体" w:hAnsi="楷体" w:eastAsia="楷体" w:cs="楷体_GB2312"/>
          <w:sz w:val="32"/>
          <w:szCs w:val="32"/>
        </w:rPr>
        <w:t>（四）发挥行业社团组织的纽带作用</w:t>
      </w:r>
      <w:r>
        <w:rPr>
          <w:rFonts w:ascii="楷体" w:hAnsi="楷体" w:eastAsia="楷体"/>
          <w:sz w:val="32"/>
          <w:szCs w:val="32"/>
        </w:rPr>
        <w:tab/>
      </w:r>
      <w:r>
        <w:rPr>
          <w:rFonts w:hint="eastAsia" w:ascii="楷体" w:hAnsi="楷体" w:eastAsia="楷体"/>
          <w:sz w:val="32"/>
          <w:szCs w:val="32"/>
          <w:lang w:val="en-US" w:eastAsia="zh-CN"/>
        </w:rPr>
        <w:t>2</w:t>
      </w:r>
      <w:r>
        <w:rPr>
          <w:rFonts w:ascii="楷体" w:hAnsi="楷体" w:eastAsia="楷体"/>
          <w:sz w:val="32"/>
          <w:szCs w:val="32"/>
        </w:rPr>
        <w:fldChar w:fldCharType="end"/>
      </w:r>
      <w:r>
        <w:rPr>
          <w:rFonts w:hint="eastAsia" w:ascii="楷体" w:hAnsi="楷体" w:eastAsia="楷体"/>
          <w:sz w:val="32"/>
          <w:szCs w:val="32"/>
          <w:lang w:val="en-US" w:eastAsia="zh-CN"/>
        </w:rPr>
        <w:t>6</w:t>
      </w:r>
    </w:p>
    <w:p>
      <w:pPr>
        <w:rPr>
          <w:rFonts w:ascii="楷体" w:hAnsi="楷体" w:eastAsia="楷体" w:cs="楷体"/>
          <w:color w:val="000000"/>
          <w:sz w:val="32"/>
          <w:szCs w:val="32"/>
        </w:rPr>
        <w:sectPr>
          <w:footerReference r:id="rId8" w:type="default"/>
          <w:pgSz w:w="11906" w:h="16838"/>
          <w:pgMar w:top="1440" w:right="1800" w:bottom="1440" w:left="1800" w:header="851" w:footer="992" w:gutter="0"/>
          <w:pgNumType w:fmt="upperRoman" w:start="1"/>
          <w:cols w:space="720" w:num="1"/>
          <w:docGrid w:type="lines" w:linePitch="312" w:charSpace="0"/>
        </w:sectPr>
      </w:pPr>
      <w:r>
        <w:rPr>
          <w:rFonts w:hint="eastAsia" w:ascii="楷体" w:hAnsi="楷体" w:eastAsia="楷体" w:cs="楷体"/>
          <w:color w:val="000000"/>
          <w:sz w:val="32"/>
          <w:szCs w:val="32"/>
        </w:rPr>
        <w:fldChar w:fldCharType="end"/>
      </w:r>
    </w:p>
    <w:p>
      <w:pPr>
        <w:pStyle w:val="4"/>
        <w:spacing w:before="0" w:after="0" w:line="578" w:lineRule="exact"/>
        <w:ind w:firstLine="640" w:firstLineChars="200"/>
        <w:jc w:val="center"/>
        <w:rPr>
          <w:rFonts w:ascii="黑体" w:hAnsi="黑体" w:eastAsia="黑体" w:cs="黑体"/>
          <w:b w:val="0"/>
          <w:bCs w:val="0"/>
          <w:color w:val="000000"/>
          <w:sz w:val="32"/>
          <w:szCs w:val="32"/>
        </w:rPr>
      </w:pPr>
      <w:bookmarkStart w:id="0" w:name="_Toc106289687"/>
      <w:r>
        <w:rPr>
          <w:rFonts w:hint="eastAsia" w:ascii="黑体" w:hAnsi="黑体" w:eastAsia="黑体" w:cs="黑体"/>
          <w:b w:val="0"/>
          <w:bCs w:val="0"/>
          <w:color w:val="000000"/>
          <w:sz w:val="32"/>
          <w:szCs w:val="32"/>
        </w:rPr>
        <w:t>前  言</w:t>
      </w:r>
      <w:bookmarkEnd w:id="0"/>
    </w:p>
    <w:p>
      <w:pPr>
        <w:pStyle w:val="5"/>
        <w:spacing w:before="0" w:after="0" w:line="578" w:lineRule="exact"/>
        <w:ind w:firstLine="643" w:firstLineChars="200"/>
        <w:rPr>
          <w:rFonts w:ascii="楷体_GB2312" w:eastAsia="楷体_GB2312"/>
          <w:color w:val="000000"/>
        </w:rPr>
      </w:pPr>
      <w:bookmarkStart w:id="1" w:name="_Toc106289688"/>
      <w:bookmarkStart w:id="2" w:name="_Toc28019"/>
      <w:bookmarkStart w:id="3" w:name="_Toc83646989"/>
    </w:p>
    <w:p>
      <w:pPr>
        <w:pStyle w:val="5"/>
        <w:spacing w:before="0" w:after="0" w:line="578" w:lineRule="exact"/>
        <w:ind w:firstLine="643" w:firstLineChars="200"/>
        <w:rPr>
          <w:rFonts w:ascii="楷体_GB2312" w:eastAsia="楷体_GB2312"/>
          <w:color w:val="000000"/>
        </w:rPr>
      </w:pPr>
      <w:r>
        <w:rPr>
          <w:rFonts w:hint="eastAsia" w:ascii="楷体_GB2312" w:eastAsia="楷体_GB2312"/>
          <w:color w:val="000000"/>
        </w:rPr>
        <w:t>（一）编制背景</w:t>
      </w:r>
      <w:bookmarkEnd w:id="1"/>
      <w:bookmarkEnd w:id="2"/>
      <w:bookmarkEnd w:id="3"/>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“十三五”期间，武汉市工程勘察设计产业克服了国内外经济社会不确定因素的影响，圆满完成了“十三五”规划的主要任务,成为我国重要的工程勘察设计服务基地和设计人才高地。</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促进我市工程勘察设计产业高质量发展，充分发挥工程勘察设计产业在我市建设“国家中心城市、长江经济带核心城市和国际化大都市”及打造“全国经济中心、国家科技创新中心、国家商贸物流中心、国际交往中心和区域金融中心”中的独特作用，武汉市城乡建设局组织编制了《武汉市工程勘察设计产业发展“十四五”规划》，作为“十四五”期间我市工程勘察设计产业发展的行动纲领。</w:t>
      </w:r>
    </w:p>
    <w:p>
      <w:pPr>
        <w:pStyle w:val="5"/>
        <w:spacing w:before="0" w:after="0" w:line="578" w:lineRule="exact"/>
        <w:ind w:firstLine="643" w:firstLineChars="200"/>
        <w:rPr>
          <w:rFonts w:ascii="楷体_GB2312" w:eastAsia="楷体_GB2312"/>
          <w:color w:val="000000"/>
        </w:rPr>
      </w:pPr>
      <w:bookmarkStart w:id="4" w:name="_Toc106289689"/>
      <w:bookmarkStart w:id="5" w:name="_Toc199"/>
      <w:bookmarkStart w:id="6" w:name="_Toc83646990"/>
      <w:r>
        <w:rPr>
          <w:rFonts w:hint="eastAsia" w:ascii="楷体_GB2312" w:eastAsia="楷体_GB2312"/>
          <w:color w:val="000000"/>
        </w:rPr>
        <w:t>（二）规划范围</w:t>
      </w:r>
      <w:bookmarkEnd w:id="4"/>
      <w:bookmarkEnd w:id="5"/>
      <w:bookmarkEnd w:id="6"/>
    </w:p>
    <w:p>
      <w:pPr>
        <w:spacing w:line="578" w:lineRule="exact"/>
        <w:ind w:firstLine="960" w:firstLineChars="300"/>
        <w:jc w:val="left"/>
        <w:rPr>
          <w:rFonts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武汉市行政区域（</w:t>
      </w:r>
      <w:r>
        <w:rPr>
          <w:rFonts w:hint="eastAsia" w:ascii="仿宋_GB2312" w:hAnsi="仿宋_GB2312" w:eastAsia="仿宋_GB2312" w:cs="仿宋_GB2312"/>
          <w:bCs/>
          <w:color w:val="000000"/>
          <w:sz w:val="32"/>
          <w:szCs w:val="32"/>
        </w:rPr>
        <w:t>含功能区、新城区</w:t>
      </w:r>
      <w:r>
        <w:rPr>
          <w:rFonts w:hint="eastAsia" w:ascii="仿宋_GB2312" w:hAnsi="仿宋_GB2312" w:eastAsia="仿宋_GB2312" w:cs="仿宋_GB2312"/>
          <w:bCs/>
          <w:color w:val="000000"/>
          <w:sz w:val="32"/>
          <w:szCs w:val="32"/>
          <w:lang w:val="zh-CN"/>
        </w:rPr>
        <w:t>）。</w:t>
      </w:r>
    </w:p>
    <w:p>
      <w:pPr>
        <w:pStyle w:val="5"/>
        <w:spacing w:before="0" w:after="0" w:line="578" w:lineRule="exact"/>
        <w:ind w:firstLine="643" w:firstLineChars="200"/>
        <w:rPr>
          <w:rFonts w:ascii="楷体_GB2312" w:eastAsia="楷体_GB2312"/>
          <w:color w:val="000000"/>
        </w:rPr>
      </w:pPr>
      <w:bookmarkStart w:id="7" w:name="_Toc9241"/>
      <w:bookmarkStart w:id="8" w:name="_Toc106289690"/>
      <w:bookmarkStart w:id="9" w:name="_Toc83646991"/>
      <w:r>
        <w:rPr>
          <w:rFonts w:hint="eastAsia" w:ascii="楷体_GB2312" w:eastAsia="楷体_GB2312"/>
          <w:color w:val="000000"/>
        </w:rPr>
        <w:t>（三）规划领域</w:t>
      </w:r>
      <w:bookmarkEnd w:id="7"/>
      <w:bookmarkEnd w:id="8"/>
      <w:bookmarkEnd w:id="9"/>
    </w:p>
    <w:p>
      <w:pPr>
        <w:spacing w:line="578" w:lineRule="exact"/>
        <w:ind w:firstLine="960" w:firstLineChars="3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工程勘察设计产业以及直接为其服务的相关产业。</w:t>
      </w:r>
    </w:p>
    <w:p>
      <w:pPr>
        <w:pStyle w:val="5"/>
        <w:spacing w:before="0" w:after="0" w:line="578" w:lineRule="exact"/>
        <w:ind w:firstLine="643" w:firstLineChars="200"/>
        <w:rPr>
          <w:rFonts w:ascii="楷体_GB2312" w:eastAsia="楷体_GB2312"/>
          <w:color w:val="000000"/>
        </w:rPr>
      </w:pPr>
      <w:bookmarkStart w:id="10" w:name="_Toc106289691"/>
      <w:bookmarkStart w:id="11" w:name="_Toc360"/>
      <w:bookmarkStart w:id="12" w:name="_Toc83646992"/>
      <w:r>
        <w:rPr>
          <w:rFonts w:hint="eastAsia" w:ascii="楷体_GB2312" w:eastAsia="楷体_GB2312"/>
          <w:color w:val="000000"/>
        </w:rPr>
        <w:t>（四）规划年限</w:t>
      </w:r>
      <w:bookmarkEnd w:id="10"/>
      <w:bookmarkEnd w:id="11"/>
      <w:bookmarkEnd w:id="12"/>
    </w:p>
    <w:p>
      <w:pPr>
        <w:spacing w:line="578" w:lineRule="exact"/>
        <w:ind w:firstLine="640" w:firstLineChars="200"/>
        <w:jc w:val="left"/>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规划年限2021—2025年</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rPr>
        <w:t>规划基年2020年。</w:t>
      </w:r>
    </w:p>
    <w:p>
      <w:pPr>
        <w:pStyle w:val="5"/>
        <w:spacing w:before="0" w:after="0" w:line="578" w:lineRule="exact"/>
        <w:ind w:firstLine="643" w:firstLineChars="200"/>
        <w:rPr>
          <w:rFonts w:ascii="楷体_GB2312" w:eastAsia="楷体_GB2312"/>
          <w:color w:val="000000"/>
        </w:rPr>
      </w:pPr>
      <w:bookmarkStart w:id="13" w:name="_Toc106289692"/>
      <w:bookmarkStart w:id="14" w:name="_Toc13847"/>
      <w:bookmarkStart w:id="15" w:name="_Toc83646993"/>
      <w:r>
        <w:rPr>
          <w:rFonts w:hint="eastAsia" w:ascii="楷体_GB2312" w:eastAsia="楷体_GB2312"/>
          <w:color w:val="000000"/>
        </w:rPr>
        <w:t>（</w:t>
      </w:r>
      <w:r>
        <w:rPr>
          <w:rFonts w:ascii="楷体_GB2312" w:eastAsia="楷体_GB2312"/>
          <w:color w:val="000000"/>
        </w:rPr>
        <w:t>五</w:t>
      </w:r>
      <w:r>
        <w:rPr>
          <w:rFonts w:hint="eastAsia" w:ascii="楷体_GB2312" w:eastAsia="楷体_GB2312"/>
          <w:color w:val="000000"/>
        </w:rPr>
        <w:t>）</w:t>
      </w:r>
      <w:r>
        <w:rPr>
          <w:rFonts w:ascii="楷体_GB2312" w:eastAsia="楷体_GB2312"/>
          <w:color w:val="000000"/>
        </w:rPr>
        <w:t>规划依据</w:t>
      </w:r>
      <w:bookmarkEnd w:id="13"/>
      <w:bookmarkEnd w:id="14"/>
      <w:bookmarkEnd w:id="15"/>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r>
        <w:rPr>
          <w:rFonts w:ascii="仿宋_GB2312" w:hAnsi="仿宋_GB2312" w:eastAsia="仿宋_GB2312" w:cs="仿宋_GB2312"/>
          <w:bCs/>
          <w:color w:val="000000"/>
          <w:sz w:val="32"/>
          <w:szCs w:val="32"/>
        </w:rPr>
        <w:t>《中共中央关于制定国民经济和社会发展第十四个五年规划和二〇三五年远景目标的建议》</w:t>
      </w:r>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r>
        <w:rPr>
          <w:rFonts w:ascii="仿宋_GB2312" w:hAnsi="仿宋_GB2312" w:eastAsia="仿宋_GB2312" w:cs="仿宋_GB2312"/>
          <w:bCs/>
          <w:color w:val="000000"/>
          <w:sz w:val="32"/>
          <w:szCs w:val="32"/>
        </w:rPr>
        <w:t>《中共湖北省委关于制定全省国民经济和社会发展第十四个五年规划和二〇三五年远景目标的建议》</w:t>
      </w:r>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w:t>
      </w:r>
      <w:r>
        <w:rPr>
          <w:rFonts w:ascii="仿宋_GB2312" w:hAnsi="仿宋_GB2312" w:eastAsia="仿宋_GB2312" w:cs="仿宋_GB2312"/>
          <w:bCs/>
          <w:color w:val="000000"/>
          <w:sz w:val="32"/>
          <w:szCs w:val="32"/>
        </w:rPr>
        <w:t>《中共武汉市委关于制定全市国民经济和社会发展第十四个五年规划和二〇三五年远景目标的建议》</w:t>
      </w:r>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w:t>
      </w:r>
      <w:r>
        <w:rPr>
          <w:rFonts w:ascii="仿宋_GB2312" w:hAnsi="仿宋_GB2312" w:eastAsia="仿宋_GB2312" w:cs="仿宋_GB2312"/>
          <w:bCs/>
          <w:color w:val="000000"/>
          <w:sz w:val="32"/>
          <w:szCs w:val="32"/>
        </w:rPr>
        <w:t>《武汉市国民经济和社会发展第十四个五年规划和二〇三五年远景目标纲要》</w:t>
      </w:r>
    </w:p>
    <w:p>
      <w:pPr>
        <w:spacing w:line="578"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5.《武汉市城乡建设（道路桥梁、轨道交通）“十四五”规划》</w:t>
      </w:r>
    </w:p>
    <w:p>
      <w:pPr>
        <w:spacing w:line="578" w:lineRule="exact"/>
        <w:ind w:firstLine="640" w:firstLineChars="200"/>
        <w:jc w:val="left"/>
        <w:rPr>
          <w:rFonts w:ascii="仿宋_GB2312" w:hAnsi="仿宋_GB2312" w:eastAsia="仿宋_GB2312" w:cs="仿宋_GB2312"/>
          <w:bCs/>
          <w:color w:val="FF0000"/>
          <w:sz w:val="32"/>
          <w:szCs w:val="32"/>
        </w:rPr>
      </w:pPr>
      <w:r>
        <w:rPr>
          <w:rFonts w:hint="eastAsia" w:ascii="仿宋_GB2312" w:hAnsi="仿宋_GB2312" w:eastAsia="仿宋_GB2312" w:cs="仿宋_GB2312"/>
          <w:bCs/>
          <w:color w:val="000000"/>
          <w:sz w:val="32"/>
          <w:szCs w:val="32"/>
        </w:rPr>
        <w:t>6.武汉市“十四五”相关规划</w:t>
      </w:r>
    </w:p>
    <w:p>
      <w:pPr>
        <w:spacing w:line="578" w:lineRule="exact"/>
        <w:jc w:val="left"/>
        <w:rPr>
          <w:rFonts w:ascii="仿宋_GB2312" w:hAnsi="仿宋_GB2312" w:eastAsia="仿宋_GB2312" w:cs="仿宋_GB2312"/>
          <w:bCs/>
          <w:sz w:val="28"/>
          <w:szCs w:val="28"/>
        </w:rPr>
      </w:pPr>
    </w:p>
    <w:p>
      <w:pPr>
        <w:pStyle w:val="4"/>
        <w:spacing w:before="0" w:after="0" w:line="578" w:lineRule="exact"/>
        <w:ind w:firstLine="883" w:firstLineChars="200"/>
        <w:rPr>
          <w:rFonts w:ascii="仿宋_GB2312" w:hAnsi="仿宋_GB2312" w:eastAsia="仿宋_GB2312" w:cs="仿宋_GB2312"/>
          <w:b w:val="0"/>
          <w:bCs w:val="0"/>
          <w:color w:val="000000"/>
        </w:rPr>
      </w:pPr>
      <w:r>
        <w:rPr>
          <w:rFonts w:ascii="仿宋_GB2312" w:hAnsi="仿宋_GB2312" w:eastAsia="仿宋_GB2312" w:cs="仿宋_GB2312"/>
          <w:color w:val="000000"/>
        </w:rPr>
        <w:br w:type="page"/>
      </w:r>
      <w:bookmarkStart w:id="16" w:name="_Toc106289693"/>
      <w:r>
        <w:rPr>
          <w:rFonts w:hint="eastAsia" w:ascii="黑体" w:hAnsi="黑体" w:eastAsia="黑体" w:cs="黑体"/>
          <w:b w:val="0"/>
          <w:bCs w:val="0"/>
          <w:color w:val="000000"/>
          <w:sz w:val="32"/>
          <w:szCs w:val="32"/>
        </w:rPr>
        <w:t>一、发展基础</w:t>
      </w:r>
      <w:bookmarkEnd w:id="16"/>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“十三五”期间，在市委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的领导下，在把武汉市打造成为世界“设计之都”工作目标引领下，经过各方主体共同努力，武汉工程勘察设计产业取得了稳步发展，规模不断扩大，优秀人才不断涌现，营商环境更加优化，国际合作更加密切，圆满完成了“十三五”规划确定的主要目标任务，为全市“十三五”规划目标任务的完成做出了积极贡献，并为“十四五”工程勘察设计产业更高质量的发展打下了坚实基础。</w:t>
      </w:r>
    </w:p>
    <w:p>
      <w:pPr>
        <w:pStyle w:val="5"/>
        <w:spacing w:before="0" w:after="0" w:line="578" w:lineRule="exact"/>
        <w:ind w:firstLine="643" w:firstLineChars="200"/>
        <w:rPr>
          <w:rFonts w:ascii="楷体_GB2312" w:eastAsia="楷体_GB2312"/>
          <w:color w:val="000000"/>
        </w:rPr>
      </w:pPr>
      <w:bookmarkStart w:id="17" w:name="_Toc106289694"/>
      <w:r>
        <w:rPr>
          <w:rFonts w:hint="eastAsia" w:ascii="楷体_GB2312" w:eastAsia="楷体_GB2312"/>
          <w:color w:val="000000"/>
        </w:rPr>
        <w:t>（一）发展成就</w:t>
      </w:r>
      <w:bookmarkEnd w:id="17"/>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1.产业规模迈上新台阶</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营业收入实现大幅度增长。</w:t>
      </w:r>
      <w:r>
        <w:rPr>
          <w:rFonts w:hint="eastAsia" w:ascii="仿宋_GB2312" w:hAnsi="仿宋_GB2312" w:eastAsia="仿宋_GB2312" w:cs="仿宋_GB2312"/>
          <w:color w:val="000000"/>
          <w:sz w:val="32"/>
          <w:szCs w:val="32"/>
        </w:rPr>
        <w:t>2020年，武汉市工程勘察设计产业营业收入1814.8亿元，五年年均增长率达到14.81%，比“十二五”期间年均增长率提高了3个百分点，总量是2015年的1.99倍。“十三五”期间，武汉市工程勘察设计产业境外营业收入从2015年的25.9亿美元增长至2020年51.9亿美元，年均增长14.91%。</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企业和从业人员数量同步增长。</w:t>
      </w:r>
      <w:r>
        <w:rPr>
          <w:rFonts w:hint="eastAsia" w:ascii="仿宋_GB2312" w:hAnsi="仿宋_GB2312" w:eastAsia="仿宋_GB2312" w:cs="仿宋_GB2312"/>
          <w:color w:val="000000"/>
          <w:sz w:val="32"/>
          <w:szCs w:val="32"/>
        </w:rPr>
        <w:t>2020年，武汉市工程勘察设计企业数量达1056家，较2015年增加559家，年均增长率16.27%。</w:t>
      </w:r>
      <w:bookmarkStart w:id="18" w:name="_Hlk71377710"/>
      <w:r>
        <w:rPr>
          <w:rFonts w:hint="eastAsia" w:ascii="仿宋_GB2312" w:hAnsi="仿宋_GB2312" w:eastAsia="仿宋_GB2312" w:cs="仿宋_GB2312"/>
          <w:color w:val="000000"/>
          <w:sz w:val="32"/>
          <w:szCs w:val="32"/>
        </w:rPr>
        <w:t>2020年，勘察设计企业从业人员数量达15.77万人，</w:t>
      </w:r>
      <w:bookmarkEnd w:id="18"/>
      <w:r>
        <w:rPr>
          <w:rFonts w:hint="eastAsia" w:ascii="仿宋_GB2312" w:hAnsi="仿宋_GB2312" w:eastAsia="仿宋_GB2312" w:cs="仿宋_GB2312"/>
          <w:color w:val="000000"/>
          <w:sz w:val="32"/>
          <w:szCs w:val="32"/>
        </w:rPr>
        <w:t>是2015年人数的2.2倍，年均增加近1.7万人。2020年武汉市工程勘察设计企业共有注册执业人员28096人，较2015年翻了一番，注册执业人员占设计人员比率为17.8%。</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产业结构不断拓宽。</w:t>
      </w:r>
      <w:r>
        <w:rPr>
          <w:rFonts w:hint="eastAsia" w:ascii="仿宋_GB2312" w:hAnsi="仿宋_GB2312" w:eastAsia="仿宋_GB2312" w:cs="仿宋_GB2312"/>
          <w:color w:val="000000"/>
          <w:sz w:val="32"/>
          <w:szCs w:val="32"/>
        </w:rPr>
        <w:t>“十三五”期间，武汉市工程勘察设计产业不断优化产业结构，在立足工程建设勘察、设计等传统主营业务的前提下，不断创新商业模式，大力发展以工程设计为龙头的工程总承包，开展工程建设全过程咨询服务，促进业务结构不断拓宽，延伸了设计产业链。2020年，武汉市工程勘察设计产业工程总承包收入达到1407.7亿元，占工程勘察设计产业年营业总收入比重的77.57%。</w:t>
      </w:r>
    </w:p>
    <w:p>
      <w:pPr>
        <w:pStyle w:val="6"/>
        <w:spacing w:before="0" w:after="0" w:line="578" w:lineRule="exact"/>
        <w:ind w:firstLine="643" w:firstLineChars="200"/>
      </w:pPr>
      <w:r>
        <w:rPr>
          <w:rFonts w:hint="eastAsia" w:ascii="仿宋_GB2312" w:eastAsia="仿宋_GB2312"/>
          <w:color w:val="000000"/>
        </w:rPr>
        <w:t>2.市场主体实力得到巩固提升</w:t>
      </w:r>
    </w:p>
    <w:p>
      <w:pPr>
        <w:spacing w:line="578"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龙头企业数量稳步增长。</w:t>
      </w:r>
      <w:r>
        <w:rPr>
          <w:rFonts w:hint="eastAsia" w:ascii="仿宋_GB2312" w:hAnsi="仿宋_GB2312" w:eastAsia="仿宋_GB2312" w:cs="仿宋_GB2312"/>
          <w:color w:val="000000"/>
          <w:sz w:val="32"/>
          <w:szCs w:val="32"/>
        </w:rPr>
        <w:t>“十三五”末期，武汉市拥有工程设计综合甲级资质企业8家，仅少于北京（21家）,超过上海（7家）、天津（6家），保持了全国第二的地位。武汉市拥有工程勘察综合甲级资质企业22家，仅少于</w:t>
      </w:r>
      <w:r>
        <w:rPr>
          <w:rFonts w:hint="eastAsia" w:ascii="仿宋_GB2312" w:hAnsi="仿宋_GB2312" w:eastAsia="仿宋_GB2312" w:cs="仿宋_GB2312"/>
          <w:bCs/>
          <w:color w:val="000000"/>
          <w:sz w:val="32"/>
          <w:szCs w:val="32"/>
        </w:rPr>
        <w:t>北京（31家），超过西安（21家）、广州（19家）、成都（18家），保持了全国第二的地位。</w:t>
      </w:r>
      <w:r>
        <w:rPr>
          <w:rFonts w:hint="eastAsia" w:ascii="仿宋_GB2312" w:hAnsi="仿宋_GB2312" w:eastAsia="仿宋_GB2312" w:cs="仿宋_GB2312"/>
          <w:color w:val="000000"/>
          <w:sz w:val="32"/>
          <w:szCs w:val="32"/>
        </w:rPr>
        <w:t>根据《建筑时报》与美国工程新闻纪录杂志联合发布的中国工程设计企业60强榜单，2020年武汉进入60强的企业数量达到7家，总数居于北京、上海之后，保持了全国第三的位次。</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领军人才数量较大幅度增加。</w:t>
      </w:r>
      <w:r>
        <w:rPr>
          <w:rFonts w:hint="eastAsia" w:ascii="仿宋_GB2312" w:hAnsi="仿宋_GB2312" w:eastAsia="仿宋_GB2312" w:cs="仿宋_GB2312"/>
          <w:color w:val="000000"/>
          <w:sz w:val="32"/>
          <w:szCs w:val="32"/>
        </w:rPr>
        <w:t>“十三五”期间，武汉市工程领域的院士、勘察设计大师级别的领军人才实现较大幅度增加。到2020年底，武汉市拥有土木、水利与建筑工程类工程院院士11人，其中“十三五”期间新增2人。在岗全国勘察设计大师</w:t>
      </w: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6人，其中“十三五”期间新增</w:t>
      </w:r>
      <w:r>
        <w:rPr>
          <w:rFonts w:ascii="仿宋_GB2312" w:hAnsi="仿宋_GB2312" w:eastAsia="仿宋_GB2312" w:cs="仿宋_GB2312"/>
          <w:color w:val="000000" w:themeColor="text1"/>
          <w:sz w:val="32"/>
          <w:szCs w:val="32"/>
        </w:rPr>
        <w:t>11</w:t>
      </w:r>
      <w:r>
        <w:rPr>
          <w:rStyle w:val="20"/>
          <w:rFonts w:ascii="仿宋_GB2312" w:hAnsi="仿宋_GB2312" w:eastAsia="仿宋_GB2312" w:cs="仿宋_GB2312"/>
          <w:color w:val="000000" w:themeColor="text1"/>
          <w:sz w:val="32"/>
          <w:szCs w:val="32"/>
        </w:rPr>
        <w:footnoteReference w:id="0"/>
      </w:r>
      <w:r>
        <w:rPr>
          <w:rFonts w:ascii="仿宋_GB2312" w:hAnsi="仿宋_GB2312" w:eastAsia="仿宋_GB2312" w:cs="仿宋_GB2312"/>
          <w:color w:val="000000" w:themeColor="text1"/>
          <w:sz w:val="32"/>
          <w:szCs w:val="32"/>
        </w:rPr>
        <w:t>人，</w:t>
      </w:r>
      <w:r>
        <w:rPr>
          <w:rFonts w:hint="eastAsia" w:ascii="仿宋_GB2312" w:hAnsi="仿宋_GB2312" w:eastAsia="仿宋_GB2312" w:cs="仿宋_GB2312"/>
          <w:color w:val="000000" w:themeColor="text1"/>
          <w:sz w:val="32"/>
          <w:szCs w:val="32"/>
        </w:rPr>
        <w:t>勘察设计大师总数占全国</w:t>
      </w:r>
      <w:r>
        <w:rPr>
          <w:rFonts w:ascii="仿宋_GB2312" w:hAnsi="仿宋_GB2312" w:eastAsia="仿宋_GB2312" w:cs="仿宋_GB2312"/>
          <w:color w:val="000000" w:themeColor="text1"/>
          <w:sz w:val="32"/>
          <w:szCs w:val="32"/>
        </w:rPr>
        <w:t>265人的7.92%</w:t>
      </w:r>
      <w:r>
        <w:rPr>
          <w:rFonts w:hint="eastAsia" w:ascii="仿宋_GB2312" w:hAnsi="仿宋_GB2312" w:eastAsia="仿宋_GB2312" w:cs="仿宋_GB2312"/>
          <w:color w:val="000000"/>
          <w:sz w:val="32"/>
          <w:szCs w:val="32"/>
        </w:rPr>
        <w:t>。</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3.科技创新取得明显成效</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科技创新活力显著增强。</w:t>
      </w:r>
      <w:r>
        <w:rPr>
          <w:rFonts w:hint="eastAsia" w:ascii="仿宋_GB2312" w:hAnsi="仿宋_GB2312" w:eastAsia="仿宋_GB2312" w:cs="仿宋_GB2312"/>
          <w:color w:val="000000"/>
          <w:sz w:val="32"/>
          <w:szCs w:val="32"/>
        </w:rPr>
        <w:t>“十三五”期间，武汉市工程勘察设计企业加大了科技创新的力度，2020年武汉市工程勘察设计企业科技活动费用支出总额52.6亿元，占营业收入比例约2.9%，比2015年占比的2.1%提高了0.8个百分点。五年期间在绿色建筑、装配式建筑、超高层建筑、地质测绘勘察、市政工程及工业工程领域攻克了一系列技术难题，净增专利14952件，到2020年底武汉市企业累计拥有专利20935件，推动了工程勘察设计技术水平全面提高。科技创新活动增强促进了技术转让收入的提高，2020年武汉市企业实现技术转让费达到40.98亿元，比2015年增加1.49倍，技术转让收入占营业收入比重为2.2%。</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BIM技术得到广泛运用。</w:t>
      </w:r>
      <w:r>
        <w:rPr>
          <w:rFonts w:hint="eastAsia" w:ascii="仿宋_GB2312" w:hAnsi="仿宋_GB2312" w:eastAsia="仿宋_GB2312" w:cs="仿宋_GB2312"/>
          <w:color w:val="000000"/>
          <w:sz w:val="32"/>
          <w:szCs w:val="32"/>
        </w:rPr>
        <w:t>“十三五”期间武汉市编制完成《武汉市建筑信息模型标准体系研究》，出台了《武汉市BIM技术规定》与《武汉市BIM设计应用指南》，一批BIM技术应用试点项目有序展开，BIM推广运用的技术环境基本形成。长江BIM技术联盟及一批行业协会的BIM专业委员会成立，BIM视频大赛、技术应用讲座等宣传推广活动大范围开展，推动了产业数字化转型。进入2020年，信息化集成应用系统在各设计院所得到全面搭建，国产拥有自主产权的BIM软件发展迅速，三维协同设计得到进一步推广，BIM技术在武汉工程建设领域得到广泛应用。</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4.“武汉设计”品牌影响力不断提升</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武汉成功入选联合国教科文组织创意城市网络设计之都。</w:t>
      </w:r>
      <w:r>
        <w:rPr>
          <w:rFonts w:hint="eastAsia" w:ascii="仿宋_GB2312" w:hAnsi="仿宋_GB2312" w:eastAsia="仿宋_GB2312" w:cs="仿宋_GB2312"/>
          <w:color w:val="000000"/>
          <w:sz w:val="32"/>
          <w:szCs w:val="32"/>
        </w:rPr>
        <w:t>2017年11月1日，武汉市成为联合国教科文组织创意城市网络设计之都，“设计之都”申报成功的原因之一是基于我市工程勘察设计产业的雄厚实力，“设计之都”申报成功对我市工程勘察设计产业的发展形成了极大的助推作用，与深圳、上海、北京三个“设计之都”形成各具特色的差异化发展模式，树立了“武汉设计”的城市品牌。</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“武汉设计双年展”成为武汉设计嘉年华。</w:t>
      </w:r>
      <w:r>
        <w:rPr>
          <w:rFonts w:hint="eastAsia" w:ascii="仿宋_GB2312" w:hAnsi="仿宋_GB2312" w:eastAsia="仿宋_GB2312" w:cs="仿宋_GB2312"/>
          <w:color w:val="000000"/>
          <w:sz w:val="32"/>
          <w:szCs w:val="32"/>
        </w:rPr>
        <w:t>武汉市已经举办六届武汉设计双年展，内容越来越丰富，质量越来越高，国际化程度不断增强，在设计产业界影响越来越大，已逐渐成为展示武汉城市文化的新品牌，对于提升武汉城市和武汉设计美誉度发挥了非常积极的作用。</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不断获得国内外设计大奖。</w:t>
      </w:r>
      <w:r>
        <w:rPr>
          <w:rFonts w:hint="eastAsia" w:ascii="仿宋_GB2312" w:hAnsi="仿宋_GB2312" w:eastAsia="仿宋_GB2312" w:cs="仿宋_GB2312"/>
          <w:color w:val="000000"/>
          <w:sz w:val="32"/>
          <w:szCs w:val="32"/>
        </w:rPr>
        <w:t>“十三五”期间，武汉工程勘察设计企业创作出一批优秀工程设计项目，央企、地方国企、民营企业获得国家级设计奖项517项，显示了我市工程勘察设计产业的雄厚实力。</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5.为武汉“十三五”做出独特贡献</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为武汉打赢抗疫保卫战做出了特殊贡献。</w:t>
      </w:r>
      <w:r>
        <w:rPr>
          <w:rFonts w:hint="eastAsia" w:ascii="仿宋_GB2312" w:hAnsi="仿宋_GB2312" w:eastAsia="仿宋_GB2312" w:cs="仿宋_GB2312"/>
          <w:color w:val="000000"/>
          <w:sz w:val="32"/>
          <w:szCs w:val="32"/>
        </w:rPr>
        <w:t>面对突如其来的新冠肺炎疫情，武汉设计企业发挥专业和技术优势，为打赢武汉保卫战做出了卓越的贡献，彰显了伟大的抗疫精神。其中，火神山医院24小时完成方案设计图，60小时完成施工图设计，保障医院10天建成；雷神山医院24小时完成方案设计图，72小时完成施工图设计，保障医院12天建成。武汉设计企业共同努力，以极高的效率编制了《大型公共设施平战两用设计规范》《新建大型公共建筑应对公共卫生事件平战两用设计导则》《既有大型公共建筑应对公共卫生事件平战两用改造设计导则》，完成了30余所方舱医院的设计，并向国际社会分享了方舱医院建设的成功案例。武汉设计以疫情期间的贡献而获得业内殊荣，火神山、雷神山医院分别荣获“2020年中国勘察设计协会行业优秀勘察设计奖·新冠肺炎应急救治设施特别设计奖新建项目”一等奖。武汉火神山医院总设计师汤群、武汉雷神山医院总设计师张颂民，荣获“2020年度武汉设计年度人物”。</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深度参与“一带一路”建设。</w:t>
      </w:r>
      <w:r>
        <w:rPr>
          <w:rFonts w:hint="eastAsia" w:ascii="仿宋_GB2312" w:hAnsi="仿宋_GB2312" w:eastAsia="仿宋_GB2312" w:cs="仿宋_GB2312"/>
          <w:color w:val="000000"/>
          <w:sz w:val="32"/>
          <w:szCs w:val="32"/>
        </w:rPr>
        <w:t>“十三五”期间，武汉工程勘察设计企业积极参与“一带一路”建设，活跃在“一带一路”沿线，设计了一系列优秀工程，长江勘察规划设计研究院公司（现长江设计集团）进入美国ENR国际设计企业海外收入150强，中国五环工程有限公司、中冶南方工程技术有限公司、中国电力工程顾问集团中南电力设计院有限公司、湖北省电力勘察设计院有限公司等入选中国工程勘察设计行业协会评选的2021海外工程总承包收入82强榜单，中国建筑第三工程局有限公司、中国葛洲坝集团有限公司等在海外承担的工程总承包项目入选“走出去”网评选的最有影响力的海外工程20强，武汉工程勘察设计产业是武汉乃至湖北省服务贸易业发展的重要支柱，在助力武汉打造内陆开放型高地，提升开放型经济水平的战略中发挥越来越重要的作用。</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推动了武汉“老城新生”。</w:t>
      </w:r>
      <w:r>
        <w:rPr>
          <w:rFonts w:hint="eastAsia" w:ascii="仿宋_GB2312" w:hAnsi="仿宋_GB2312" w:eastAsia="仿宋_GB2312" w:cs="仿宋_GB2312"/>
          <w:color w:val="000000"/>
          <w:sz w:val="32"/>
          <w:szCs w:val="32"/>
        </w:rPr>
        <w:t>武汉工程设计企业充分利用自身专业技术优势，加强了对文化遗产、工业遗产保护研究，积极参与我市城市更新，促进了旧城区历史文化遗产的保护和振兴，城市的功能和品质得到提升。</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6.营商环境显著改善</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市场准入进一步放宽。</w:t>
      </w:r>
      <w:r>
        <w:rPr>
          <w:rFonts w:hint="eastAsia" w:ascii="仿宋_GB2312" w:hAnsi="仿宋_GB2312" w:eastAsia="仿宋_GB2312" w:cs="仿宋_GB2312"/>
          <w:color w:val="000000"/>
          <w:sz w:val="32"/>
          <w:szCs w:val="32"/>
        </w:rPr>
        <w:t>“十三五”期间，武汉市积极承担国家和省建设行政主管部门推进的“放管服”先行先试工作，全市工程勘察设计市场准入和监管都发生了积极变化，市场的开放度在国内处于较高水平，市场监管更加公平、透明，基于工程设计的总承包、全过程咨询等新型业务的监管体系逐步完善，武汉市工程勘察设计产业的营商环境居于全国大中城市前列。</w:t>
      </w:r>
    </w:p>
    <w:p>
      <w:pPr>
        <w:spacing w:line="57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施工图审查实现数字化图审。</w:t>
      </w:r>
      <w:r>
        <w:rPr>
          <w:rFonts w:hint="eastAsia" w:ascii="仿宋_GB2312" w:hAnsi="仿宋_GB2312" w:eastAsia="仿宋_GB2312" w:cs="仿宋_GB2312"/>
          <w:color w:val="000000"/>
          <w:sz w:val="32"/>
          <w:szCs w:val="32"/>
        </w:rPr>
        <w:t>“十三五”期间，作为国家住建部确定的数字化图审试点城市，武汉市不断推动施工图审查改革，实行了联合图审、“多审合一”，采用了政府购买施工图审查服务，缩小了图审范围，压缩了图审周期。在全国率先建设了数字化审图系统，实现了施工图审查网上报审、勘察设计成果数字化交付、施工图审查全过程的网上传送以及信息数据共享、信息数据同步更新，推动了工程勘察设计质量保障体系的数字化转型。</w:t>
      </w:r>
    </w:p>
    <w:p>
      <w:pPr>
        <w:spacing w:line="60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表</w:t>
      </w: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：武汉市工程勘察设计产业“十三五”规划主要指标</w:t>
      </w:r>
    </w:p>
    <w:p>
      <w:pPr>
        <w:spacing w:line="60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完成情况</w:t>
      </w:r>
    </w:p>
    <w:tbl>
      <w:tblPr>
        <w:tblStyle w:val="21"/>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992"/>
        <w:gridCol w:w="351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序号</w:t>
            </w:r>
          </w:p>
        </w:tc>
        <w:tc>
          <w:tcPr>
            <w:tcW w:w="2992"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规划指标</w:t>
            </w:r>
          </w:p>
        </w:tc>
        <w:tc>
          <w:tcPr>
            <w:tcW w:w="3516"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实现指标</w:t>
            </w:r>
          </w:p>
        </w:tc>
        <w:tc>
          <w:tcPr>
            <w:tcW w:w="2059"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工程勘察设计产业营业收入年均增长10%</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工程勘察设计产业营业收入年均增长14.81%</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2020年工程勘察设计产业营业收入达1500亿元</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2020年工程勘察设计产业营业收入达1814.8亿元</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2020年利润额达117亿元</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2020年利润额达207.4亿元</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4</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2020年利润率达7.8%</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2020年利润率达6.7%</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由于口径调整，利润率指标已不可比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研发投入年均增速达12%</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研发投入年均增速达38.94%</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6</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研发投入占营业收入比重达2.5%</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科技活动费用支出占营业收入比重达2.9%</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科研成果转让收入年均递增15%</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科研成果转让收入年均递增20%</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科研成果转让收入占总收入比重达3.5%</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科研成果转让收入占营业收入比重达2.2%</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9</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2020年注册人员占全从业人员比重不低于20%</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2020年注册人员占全从业人员比重达17.8%</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40"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r>
              <w:rPr>
                <w:rFonts w:ascii="仿宋_GB2312" w:hAnsi="Calibri" w:eastAsia="仿宋_GB2312" w:cs="Calibri"/>
                <w:color w:val="000000"/>
                <w:kern w:val="0"/>
                <w:szCs w:val="21"/>
              </w:rPr>
              <w:t>0</w:t>
            </w:r>
          </w:p>
        </w:tc>
        <w:tc>
          <w:tcPr>
            <w:tcW w:w="299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在岗国家勘察设计大师人数达20人</w:t>
            </w:r>
          </w:p>
        </w:tc>
        <w:tc>
          <w:tcPr>
            <w:tcW w:w="351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在岗国家勘察设计大师人数达21人</w:t>
            </w:r>
          </w:p>
        </w:tc>
        <w:tc>
          <w:tcPr>
            <w:tcW w:w="2059"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是</w:t>
            </w:r>
          </w:p>
        </w:tc>
      </w:tr>
    </w:tbl>
    <w:p>
      <w:pPr>
        <w:pStyle w:val="5"/>
        <w:spacing w:before="0" w:after="0" w:line="578" w:lineRule="exact"/>
        <w:ind w:firstLine="643" w:firstLineChars="200"/>
      </w:pPr>
      <w:bookmarkStart w:id="19" w:name="_Toc106289695"/>
      <w:r>
        <w:rPr>
          <w:rFonts w:hint="eastAsia" w:ascii="楷体_GB2312" w:eastAsia="楷体_GB2312"/>
          <w:color w:val="000000"/>
        </w:rPr>
        <w:t>（二）主要问题</w:t>
      </w:r>
      <w:bookmarkEnd w:id="19"/>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“十三五”期间，武汉市工程勘察设计产业虽然实现了较快发展，取得了较大进步，但也存影响产业发展的问题。</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1.中小微设计企业发展面临瓶颈</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期间，国际形势及新冠肺炎疫情加剧了经济波动，武汉大型国有设计企业抗风险能力强，进一步巩固了自身地位，而以民营性质为主的中小微企业受到的影响较大，普遍出现市场竞争激烈、经济效益下降的不利局面。中小微企业是武汉工程勘察设计产业发展的重要力量，中小微企业失去活力，将导致产业发展生态失衡，产业创新创意能力下降，产业整体竞争力削弱，就业渠道缩小。</w:t>
      </w:r>
    </w:p>
    <w:p>
      <w:pPr>
        <w:pStyle w:val="6"/>
        <w:spacing w:before="0" w:after="0" w:line="578" w:lineRule="exact"/>
        <w:ind w:firstLine="643" w:firstLineChars="200"/>
        <w:rPr>
          <w:rFonts w:ascii="仿宋_GB2312" w:eastAsia="仿宋_GB2312"/>
          <w:color w:val="000000"/>
        </w:rPr>
      </w:pPr>
      <w:r>
        <w:rPr>
          <w:rFonts w:ascii="仿宋_GB2312" w:eastAsia="仿宋_GB2312"/>
          <w:color w:val="000000"/>
        </w:rPr>
        <w:t>2</w:t>
      </w:r>
      <w:r>
        <w:rPr>
          <w:rFonts w:hint="eastAsia" w:ascii="仿宋_GB2312" w:eastAsia="仿宋_GB2312"/>
          <w:color w:val="000000"/>
        </w:rPr>
        <w:t>.新动能与旧体制仍存在结构性矛盾</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随着工程设计产业不断突破原有的市场边界，支撑其发展的制度基础已不能适应其发展需求，</w:t>
      </w:r>
      <w:r>
        <w:rPr>
          <w:rFonts w:hint="eastAsia" w:ascii="仿宋_GB2312" w:hAnsi="仿宋_GB2312" w:eastAsia="仿宋_GB2312" w:cs="仿宋_GB2312"/>
          <w:sz w:val="32"/>
          <w:szCs w:val="32"/>
        </w:rPr>
        <w:t>比较突出的是，</w:t>
      </w:r>
      <w:r>
        <w:rPr>
          <w:rFonts w:hint="eastAsia" w:ascii="仿宋_GB2312" w:hAnsi="仿宋_GB2312" w:eastAsia="仿宋_GB2312" w:cs="仿宋_GB2312"/>
          <w:color w:val="000000"/>
          <w:sz w:val="32"/>
          <w:szCs w:val="32"/>
        </w:rPr>
        <w:t>国家鼓励设计企业从事工程总承包业务，但具体规定要求牵头单位必须是设计、施工双资质，设计企业要独立开展工程总承包就必须申报施工资质，这势必改变工程设计企业轻资产的性质。</w:t>
      </w:r>
    </w:p>
    <w:p>
      <w:pPr>
        <w:pStyle w:val="6"/>
        <w:spacing w:before="0" w:after="0" w:line="578" w:lineRule="exact"/>
        <w:ind w:firstLine="643" w:firstLineChars="200"/>
        <w:rPr>
          <w:rFonts w:ascii="仿宋_GB2312" w:eastAsia="仿宋_GB2312"/>
          <w:color w:val="000000"/>
        </w:rPr>
      </w:pPr>
      <w:r>
        <w:rPr>
          <w:rFonts w:ascii="仿宋_GB2312" w:eastAsia="仿宋_GB2312"/>
          <w:color w:val="000000"/>
        </w:rPr>
        <w:t>3</w:t>
      </w:r>
      <w:r>
        <w:rPr>
          <w:rFonts w:hint="eastAsia" w:ascii="仿宋_GB2312" w:eastAsia="仿宋_GB2312"/>
          <w:color w:val="000000"/>
        </w:rPr>
        <w:t>.关键技术存在受制于人的状况</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武汉工程勘察设计产业存在部分关键技术、前沿技术受制于人的情况，如在大力推广的BIM技术方面，其底层技术主要来自美国、德国等西方国家，不仅存在“卡脖子”的风险，也存在运用过程中国家数据安全的风险，武汉市工程勘察设计产业在关键技术领域自主可控的需求更加迫切。</w:t>
      </w:r>
    </w:p>
    <w:p>
      <w:pPr>
        <w:pStyle w:val="4"/>
        <w:spacing w:before="0" w:after="0" w:line="538" w:lineRule="exact"/>
        <w:ind w:firstLine="640" w:firstLineChars="200"/>
        <w:rPr>
          <w:rFonts w:ascii="黑体" w:hAnsi="黑体" w:eastAsia="黑体" w:cs="黑体"/>
          <w:b w:val="0"/>
          <w:bCs w:val="0"/>
          <w:color w:val="000000"/>
          <w:sz w:val="32"/>
          <w:szCs w:val="32"/>
        </w:rPr>
      </w:pPr>
      <w:bookmarkStart w:id="20" w:name="_Toc106289696"/>
      <w:r>
        <w:rPr>
          <w:rFonts w:hint="eastAsia" w:ascii="黑体" w:hAnsi="黑体" w:eastAsia="黑体" w:cs="黑体"/>
          <w:b w:val="0"/>
          <w:bCs w:val="0"/>
          <w:color w:val="000000"/>
          <w:sz w:val="32"/>
          <w:szCs w:val="32"/>
        </w:rPr>
        <w:t>二、机遇与挑战</w:t>
      </w:r>
      <w:bookmarkEnd w:id="20"/>
    </w:p>
    <w:p>
      <w:pPr>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我国进入了建设社会主义现代化国家新征程、新阶段，我国经济社会高质量发展是“十四五”乃至更长时期的发展主题。高质量发展对工程勘察设计市场将带来深刻变化，这对武汉市巩固及提升工程勘察设计产业的竞争力既是机遇，也面临新的挑战。</w:t>
      </w:r>
    </w:p>
    <w:p>
      <w:pPr>
        <w:pStyle w:val="5"/>
        <w:spacing w:before="0" w:after="0" w:line="538" w:lineRule="exact"/>
        <w:ind w:firstLine="643" w:firstLineChars="200"/>
        <w:rPr>
          <w:rFonts w:ascii="楷体_GB2312" w:eastAsia="楷体_GB2312"/>
          <w:color w:val="000000"/>
        </w:rPr>
      </w:pPr>
      <w:bookmarkStart w:id="21" w:name="_Toc106289697"/>
      <w:r>
        <w:rPr>
          <w:rFonts w:hint="eastAsia" w:ascii="楷体_GB2312" w:eastAsia="楷体_GB2312"/>
          <w:color w:val="000000"/>
        </w:rPr>
        <w:t>（一）发展机遇</w:t>
      </w:r>
      <w:bookmarkEnd w:id="21"/>
    </w:p>
    <w:p>
      <w:pPr>
        <w:pStyle w:val="6"/>
        <w:spacing w:before="0" w:after="0" w:line="538" w:lineRule="exact"/>
        <w:ind w:firstLine="643" w:firstLineChars="200"/>
        <w:rPr>
          <w:rFonts w:ascii="仿宋_GB2312" w:eastAsia="仿宋_GB2312"/>
          <w:color w:val="000000"/>
        </w:rPr>
      </w:pPr>
      <w:r>
        <w:rPr>
          <w:rFonts w:hint="eastAsia" w:ascii="仿宋_GB2312" w:eastAsia="仿宋_GB2312"/>
          <w:color w:val="000000"/>
        </w:rPr>
        <w:t>1.高质量发展催生新基建新市场</w:t>
      </w:r>
    </w:p>
    <w:p>
      <w:pPr>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随着我国全面转向高质量发展，人民群众对更美好生活的向往，将对工程勘察设计提出更高的需求，以人为核心的新型城镇化带来的城市更新行动，使旧工业区改造、城中村改造、老旧小区综合整治、人居环境治理、地下综合管廊建设、海绵城市建设、韧性城市建设等成为</w:t>
      </w:r>
      <w:bookmarkStart w:id="22" w:name="_Hlk79401475"/>
      <w:r>
        <w:rPr>
          <w:rFonts w:hint="eastAsia" w:ascii="仿宋_GB2312" w:hAnsi="仿宋_GB2312" w:eastAsia="仿宋_GB2312" w:cs="仿宋_GB2312"/>
          <w:sz w:val="32"/>
          <w:szCs w:val="32"/>
        </w:rPr>
        <w:t>工程勘察设计服务</w:t>
      </w:r>
      <w:bookmarkEnd w:id="22"/>
      <w:r>
        <w:rPr>
          <w:rFonts w:hint="eastAsia" w:ascii="仿宋_GB2312" w:hAnsi="仿宋_GB2312" w:eastAsia="仿宋_GB2312" w:cs="仿宋_GB2312"/>
          <w:sz w:val="32"/>
          <w:szCs w:val="32"/>
        </w:rPr>
        <w:t>的新热点；智能建造、装配式建筑</w:t>
      </w:r>
      <w:bookmarkStart w:id="23" w:name="_Hlk79401495"/>
      <w:r>
        <w:rPr>
          <w:rFonts w:hint="eastAsia" w:ascii="仿宋_GB2312" w:hAnsi="仿宋_GB2312" w:eastAsia="仿宋_GB2312" w:cs="仿宋_GB2312"/>
          <w:sz w:val="32"/>
          <w:szCs w:val="32"/>
        </w:rPr>
        <w:t>、绿色建筑的逐步普及，为</w:t>
      </w:r>
      <w:bookmarkEnd w:id="23"/>
      <w:r>
        <w:rPr>
          <w:rFonts w:hint="eastAsia" w:ascii="仿宋_GB2312" w:hAnsi="仿宋_GB2312" w:eastAsia="仿宋_GB2312" w:cs="仿宋_GB2312"/>
          <w:sz w:val="32"/>
          <w:szCs w:val="32"/>
        </w:rPr>
        <w:t>工程勘察设计服务</w:t>
      </w:r>
      <w:bookmarkStart w:id="24" w:name="_Hlk79401506"/>
      <w:r>
        <w:rPr>
          <w:rFonts w:hint="eastAsia" w:ascii="仿宋_GB2312" w:hAnsi="仿宋_GB2312" w:eastAsia="仿宋_GB2312" w:cs="仿宋_GB2312"/>
          <w:sz w:val="32"/>
          <w:szCs w:val="32"/>
        </w:rPr>
        <w:t>标准化提供条件</w:t>
      </w:r>
      <w:bookmarkEnd w:id="24"/>
      <w:r>
        <w:rPr>
          <w:rFonts w:hint="eastAsia" w:ascii="仿宋_GB2312" w:hAnsi="仿宋_GB2312" w:eastAsia="仿宋_GB2312" w:cs="仿宋_GB2312"/>
          <w:sz w:val="32"/>
          <w:szCs w:val="32"/>
        </w:rPr>
        <w:t>；以数字中国建设带动的5G、工业互联网、物联网、云计算平台等新型基础设施建设，为工程勘察设计服务提供新的市场；</w:t>
      </w:r>
      <w:r>
        <w:rPr>
          <w:rFonts w:hint="eastAsia" w:ascii="仿宋_GB2312" w:hAnsi="仿宋_GB2312" w:eastAsia="仿宋_GB2312" w:cs="仿宋_GB2312"/>
          <w:color w:val="000000"/>
          <w:sz w:val="32"/>
          <w:szCs w:val="32"/>
        </w:rPr>
        <w:t>碳达峰、碳中和</w:t>
      </w:r>
      <w:r>
        <w:rPr>
          <w:rFonts w:hint="eastAsia" w:ascii="仿宋_GB2312" w:hAnsi="仿宋_GB2312" w:eastAsia="仿宋_GB2312" w:cs="仿宋_GB2312"/>
          <w:sz w:val="32"/>
          <w:szCs w:val="32"/>
        </w:rPr>
        <w:t>战略带动的绿色能源、绿色交通、绿色制造等，对工程勘察设计服务提出新的要求</w:t>
      </w:r>
      <w:r>
        <w:rPr>
          <w:rFonts w:hint="eastAsia" w:ascii="仿宋_GB2312" w:hAnsi="仿宋_GB2312" w:eastAsia="仿宋_GB2312" w:cs="仿宋_GB2312"/>
          <w:color w:val="000000"/>
          <w:sz w:val="32"/>
          <w:szCs w:val="32"/>
        </w:rPr>
        <w:t>。</w:t>
      </w:r>
    </w:p>
    <w:p>
      <w:pPr>
        <w:pStyle w:val="6"/>
        <w:spacing w:before="0" w:after="0" w:line="538" w:lineRule="exact"/>
        <w:ind w:firstLine="643" w:firstLineChars="200"/>
        <w:rPr>
          <w:rFonts w:ascii="仿宋_GB2312" w:eastAsia="仿宋_GB2312"/>
          <w:color w:val="000000"/>
        </w:rPr>
      </w:pPr>
      <w:r>
        <w:rPr>
          <w:rFonts w:hint="eastAsia" w:ascii="仿宋_GB2312" w:eastAsia="仿宋_GB2312"/>
          <w:color w:val="000000"/>
        </w:rPr>
        <w:t>2.供给侧改革推动产业链延伸</w:t>
      </w:r>
    </w:p>
    <w:p>
      <w:pPr>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在“十三五”开始力推的以设计为龙头的工程总承包、工程建设全过程咨询服务、建筑师负责制等工程咨询服务，随着各地出台相关配套政策及在实施过程中的逐步完善，加之各地推出的示范项目产生实际效果的影响，这些新型工程咨询服务方式将进入快速发展阶段，推动工程勘察设计产业链向上下游延伸扩张，全面拓展设计产业发展新空间。</w:t>
      </w:r>
    </w:p>
    <w:p>
      <w:pPr>
        <w:pStyle w:val="6"/>
        <w:spacing w:before="0" w:after="0" w:line="538" w:lineRule="exact"/>
        <w:ind w:firstLine="643" w:firstLineChars="200"/>
        <w:rPr>
          <w:rFonts w:ascii="仿宋_GB2312" w:eastAsia="仿宋_GB2312"/>
          <w:color w:val="000000"/>
        </w:rPr>
      </w:pPr>
      <w:r>
        <w:rPr>
          <w:rFonts w:hint="eastAsia" w:ascii="仿宋_GB2312" w:eastAsia="仿宋_GB2312"/>
          <w:color w:val="000000"/>
        </w:rPr>
        <w:t>3.数字化转型为产业发展提供新动能</w:t>
      </w:r>
    </w:p>
    <w:p>
      <w:pPr>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我国以人工智能、云计算、5G、大数据、工业互联网等为代表的数字技术快速发展，极大地促进了数字产业化、产业数字化，带动了智慧建造、智慧工厂、智慧城市的发展。这既对工程勘察设计产业向数字化转型提出了新的要求，同时也提供了有力的技术支撑。工程勘察设计产业的数字化，将带来服务模式创新、产业链服务链的延伸，成为产业发展的新动能。</w:t>
      </w:r>
    </w:p>
    <w:p>
      <w:pPr>
        <w:pStyle w:val="6"/>
        <w:spacing w:before="0" w:after="0" w:line="538" w:lineRule="exact"/>
        <w:ind w:firstLine="643" w:firstLineChars="200"/>
        <w:rPr>
          <w:rFonts w:ascii="仿宋_GB2312" w:eastAsia="仿宋_GB2312"/>
          <w:color w:val="000000"/>
        </w:rPr>
      </w:pPr>
      <w:r>
        <w:rPr>
          <w:rFonts w:hint="eastAsia" w:ascii="仿宋_GB2312" w:eastAsia="仿宋_GB2312"/>
          <w:color w:val="000000"/>
        </w:rPr>
        <w:t>4.武汉“五个中心”建设带来新动能</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“十三五”期间，武汉市在经济社会发展总体上实现了较大的增长，人均GDP突破2万美元，GDP总量保持了国内前十的地位，显示了武汉经济社会的强大韧性。《武汉市国民经济和社会发展第十四个五年规划和2</w:t>
      </w:r>
      <w:r>
        <w:rPr>
          <w:rFonts w:ascii="仿宋_GB2312" w:hAnsi="仿宋_GB2312" w:eastAsia="仿宋_GB2312" w:cs="仿宋_GB2312"/>
          <w:color w:val="000000"/>
          <w:sz w:val="32"/>
          <w:szCs w:val="32"/>
        </w:rPr>
        <w:t>035</w:t>
      </w:r>
      <w:r>
        <w:rPr>
          <w:rFonts w:hint="eastAsia" w:ascii="仿宋_GB2312" w:hAnsi="仿宋_GB2312" w:eastAsia="仿宋_GB2312" w:cs="仿宋_GB2312"/>
          <w:color w:val="000000"/>
          <w:sz w:val="32"/>
          <w:szCs w:val="32"/>
        </w:rPr>
        <w:t>年远景目标纲要》描绘了建设大武汉的宏伟蓝图，提出了紧紧围绕国家中心城市、长江经济带核心城市和国际化大都市的总体定位，加快打造全国经济中心、国家科技创新中心、国家商贸物流中心、国际交往中心和区域金融中心即“五个中心”，实现城市能级和品质双提升，努力建设现代化大武汉的战略目标。可以预见，武汉以轨道交通、环境保护、医疗健康、数字化基础设施等为重点的固定资产投资将继续保持较好的增长势头，武汉的社会人文环境也将继续提升，武汉的新发展必将给工程勘察设计产业提供新的发展动能。</w:t>
      </w:r>
    </w:p>
    <w:p>
      <w:pPr>
        <w:pStyle w:val="5"/>
        <w:spacing w:before="0" w:after="0" w:line="538" w:lineRule="exact"/>
        <w:ind w:firstLine="643" w:firstLineChars="200"/>
        <w:rPr>
          <w:rFonts w:ascii="楷体_GB2312" w:eastAsia="楷体_GB2312"/>
          <w:color w:val="000000"/>
        </w:rPr>
      </w:pPr>
      <w:bookmarkStart w:id="25" w:name="_Toc106289698"/>
      <w:r>
        <w:rPr>
          <w:rFonts w:hint="eastAsia" w:ascii="楷体_GB2312" w:eastAsia="楷体_GB2312"/>
          <w:color w:val="000000"/>
        </w:rPr>
        <w:t>（二）面临挑战</w:t>
      </w:r>
      <w:bookmarkEnd w:id="25"/>
    </w:p>
    <w:p>
      <w:pPr>
        <w:pStyle w:val="6"/>
        <w:spacing w:before="0" w:after="0" w:line="538" w:lineRule="exact"/>
        <w:ind w:firstLine="643" w:firstLineChars="200"/>
        <w:rPr>
          <w:rFonts w:ascii="仿宋_GB2312" w:eastAsia="仿宋_GB2312"/>
          <w:color w:val="000000"/>
        </w:rPr>
      </w:pPr>
      <w:r>
        <w:rPr>
          <w:rFonts w:ascii="仿宋_GB2312" w:eastAsia="仿宋_GB2312"/>
          <w:color w:val="000000"/>
        </w:rPr>
        <w:t>1.区域产业发展导致的竞争加剧</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勘察设计产业作为高技术、高附加值的现代服务业，全国多地政府高度重视工程勘察设计产业发展，从产业导向、政策扶持上给予大力支持。不少城市组建省、市级设计集团，支持和鼓励投融资平台通过收购兼并及参股等方式向工程勘察设计产业链延伸。这意味着武汉工程勘察设计产业的发展将面对更加激烈的市场竞争。</w:t>
      </w:r>
    </w:p>
    <w:p>
      <w:pPr>
        <w:pStyle w:val="6"/>
        <w:spacing w:before="0" w:after="0" w:line="538" w:lineRule="exact"/>
        <w:ind w:firstLine="643" w:firstLineChars="200"/>
        <w:rPr>
          <w:rFonts w:ascii="仿宋_GB2312" w:eastAsia="仿宋_GB2312"/>
          <w:color w:val="000000"/>
        </w:rPr>
      </w:pPr>
      <w:r>
        <w:rPr>
          <w:rFonts w:ascii="仿宋_GB2312" w:eastAsia="仿宋_GB2312"/>
          <w:color w:val="000000"/>
        </w:rPr>
        <w:t>2.产业重构带来的风险加大</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自“十三五”以来，受国家供给侧结构</w:t>
      </w:r>
      <w:r>
        <w:rPr>
          <w:rFonts w:hint="eastAsia" w:ascii="仿宋_GB2312" w:hAnsi="仿宋_GB2312" w:eastAsia="仿宋_GB2312" w:cs="仿宋_GB2312"/>
          <w:color w:val="000000"/>
          <w:sz w:val="32"/>
          <w:szCs w:val="32"/>
          <w:lang w:eastAsia="zh-CN"/>
        </w:rPr>
        <w:t>性</w:t>
      </w:r>
      <w:bookmarkStart w:id="60" w:name="_GoBack"/>
      <w:bookmarkEnd w:id="60"/>
      <w:r>
        <w:rPr>
          <w:rFonts w:hint="eastAsia" w:ascii="仿宋_GB2312" w:hAnsi="仿宋_GB2312" w:eastAsia="仿宋_GB2312" w:cs="仿宋_GB2312"/>
          <w:color w:val="000000"/>
          <w:sz w:val="32"/>
          <w:szCs w:val="32"/>
        </w:rPr>
        <w:t>改革及数字化技术迅速发展等多重因素影响，我国工程勘察设计产业的发展格局正在经历加速重构，产业发展呈现服务一体化、业务多元化、资产重型化、市场全域化、主体社会化等新趋势，导致产业服务链、价值链处于分化重组当中。“十四五”期间，产业重构依然是产业发展的主线，工程勘察设计产业将出现强者越强、弱者越弱的态势，武汉工程勘察设计企业尤其是龙头企业如不能保持领先优势，将可能出现市场竞争力和设计份额下降的局面。</w:t>
      </w:r>
    </w:p>
    <w:p>
      <w:pPr>
        <w:pStyle w:val="6"/>
        <w:spacing w:before="0" w:after="0" w:line="538" w:lineRule="exact"/>
        <w:ind w:firstLine="643" w:firstLineChars="200"/>
        <w:rPr>
          <w:rFonts w:ascii="仿宋_GB2312" w:eastAsia="仿宋_GB2312"/>
          <w:color w:val="000000"/>
        </w:rPr>
      </w:pPr>
      <w:r>
        <w:rPr>
          <w:rFonts w:ascii="仿宋_GB2312" w:eastAsia="仿宋_GB2312"/>
          <w:color w:val="000000"/>
        </w:rPr>
        <w:t>3.国内外市场形势面临的不确定性增多</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十三五”以来，我国全社会固定资产投资增速明显下行，五年全社会固定资产投资年均增长率从“十二五”的17.64%降至5.72%，下降幅度高达11.92个百分点。预计“十四五”时期在全面防范金融风险、保障国家经济安全的底线思维之下，全社会固定资产投资仍将在低位运行，在全球基建市场，中国也面临激烈竞争的挑战。这将使武汉工程勘察设计企业在国内国际市场增加更多的不确定性。</w:t>
      </w:r>
    </w:p>
    <w:p>
      <w:pPr>
        <w:pStyle w:val="4"/>
        <w:spacing w:before="0" w:after="0" w:line="538" w:lineRule="exact"/>
        <w:ind w:firstLine="640" w:firstLineChars="200"/>
        <w:rPr>
          <w:rFonts w:ascii="黑体" w:hAnsi="黑体" w:eastAsia="黑体" w:cs="黑体"/>
          <w:color w:val="000000"/>
          <w:sz w:val="32"/>
          <w:szCs w:val="32"/>
        </w:rPr>
      </w:pPr>
      <w:bookmarkStart w:id="26" w:name="_Toc106289699"/>
      <w:r>
        <w:rPr>
          <w:rFonts w:hint="eastAsia" w:ascii="黑体" w:hAnsi="黑体" w:eastAsia="黑体" w:cs="黑体"/>
          <w:b w:val="0"/>
          <w:bCs w:val="0"/>
          <w:color w:val="000000"/>
          <w:sz w:val="32"/>
          <w:szCs w:val="32"/>
        </w:rPr>
        <w:t>三、发展思路</w:t>
      </w:r>
      <w:bookmarkEnd w:id="26"/>
    </w:p>
    <w:p>
      <w:pPr>
        <w:pStyle w:val="5"/>
        <w:spacing w:before="0" w:after="0" w:line="538" w:lineRule="exact"/>
        <w:ind w:firstLine="643" w:firstLineChars="200"/>
        <w:rPr>
          <w:rFonts w:ascii="楷体_GB2312" w:eastAsia="楷体_GB2312"/>
          <w:color w:val="000000"/>
        </w:rPr>
      </w:pPr>
      <w:bookmarkStart w:id="27" w:name="_Toc106289700"/>
      <w:r>
        <w:rPr>
          <w:rFonts w:hint="eastAsia" w:ascii="楷体_GB2312" w:eastAsia="楷体_GB2312"/>
          <w:color w:val="000000"/>
        </w:rPr>
        <w:t>（一）指导思想</w:t>
      </w:r>
      <w:bookmarkEnd w:id="27"/>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以习近平新时代中国特色社会主义思想为指导，深入贯彻落实习近平总书记视察湖北重要讲话精神，按照《武汉市国民经济和社会发展第十四个五年规划和2035年远景目标纲要》中提出</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锚定2035年远景目标，紧紧围绕武汉建设国家中心城市、长江经济带核心城市、国际化大都市的总体定位，坚持党的全面领导，坚持新发展理念，坚持全面深化改革，坚持全面扩大开放，坚持以人民为中心，践行高质量发展，努力优化和升级工程勘察设计产业体系，培育多元化的市场主体，进一步把工程勘察设计产业做大做强做优，为武汉“五个中心”建设做出更大贡献。</w:t>
      </w:r>
    </w:p>
    <w:p>
      <w:pPr>
        <w:pStyle w:val="5"/>
        <w:spacing w:before="0" w:after="0" w:line="538" w:lineRule="exact"/>
        <w:ind w:firstLine="643" w:firstLineChars="200"/>
        <w:rPr>
          <w:rFonts w:ascii="楷体_GB2312" w:eastAsia="楷体_GB2312"/>
          <w:color w:val="000000"/>
        </w:rPr>
      </w:pPr>
      <w:bookmarkStart w:id="28" w:name="_Toc106289701"/>
      <w:r>
        <w:rPr>
          <w:rFonts w:hint="eastAsia" w:ascii="楷体_GB2312" w:eastAsia="楷体_GB2312"/>
          <w:color w:val="000000"/>
        </w:rPr>
        <w:t>（二）基本原则</w:t>
      </w:r>
      <w:bookmarkEnd w:id="28"/>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——坚持质量优先原则。牢固树立高质量发展理念，通过不断提升服务能力，不断提升服务质量，打造服务品牌，创造更高价值和更好效益，做大产业规模，实现高质量和可持续的发展。</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——坚持创新驱动原则。积极面向新需求、新市场，加大科技研发投入，加强管理创新和市场创新，开发新技术、新服务、新方案、新模式，使科技创新在工程勘察设计产业发展中发挥主要驱动作用。</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产城融合原则。围绕武汉“十四五”经济社会发展和城市建设发展目标，引导工程勘察设计产业更深入参与城市发展，更积极的把服务链、产业链创新融入武汉经济社会体系当中，实现产业与城市深度融合发展。</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——坚持数字化引领转型。顺应数字产业化和产业数字化趋势，加快工程勘察设计产业数字化转型，加强数字化基础设施、数字化运行制度建设，加大数字化人才培育，逐步实现数字化管理和数字化服务。</w:t>
      </w:r>
    </w:p>
    <w:p>
      <w:pPr>
        <w:snapToGrid w:val="0"/>
        <w:spacing w:line="53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——坚持以人为本原则。进一步建立科技人才培养、选拨、使用、激励制度，建立良好的设计人才结构体系，形成尊重人才、吸引人才的良好社会环境，充分发挥各类设计人才的积极作用。</w:t>
      </w:r>
    </w:p>
    <w:p>
      <w:pPr>
        <w:pStyle w:val="5"/>
        <w:numPr>
          <w:ilvl w:val="0"/>
          <w:numId w:val="1"/>
        </w:numPr>
        <w:spacing w:before="0" w:after="0" w:line="538" w:lineRule="exact"/>
        <w:ind w:firstLine="643" w:firstLineChars="200"/>
        <w:rPr>
          <w:rFonts w:ascii="楷体_GB2312" w:eastAsia="楷体_GB2312"/>
          <w:color w:val="000000"/>
        </w:rPr>
      </w:pPr>
      <w:bookmarkStart w:id="29" w:name="_Toc106289702"/>
      <w:r>
        <w:rPr>
          <w:rFonts w:hint="eastAsia" w:ascii="楷体_GB2312" w:eastAsia="楷体_GB2312"/>
          <w:color w:val="000000"/>
        </w:rPr>
        <w:t>发展目标</w:t>
      </w:r>
      <w:bookmarkEnd w:id="29"/>
    </w:p>
    <w:p>
      <w:pPr>
        <w:snapToGrid w:val="0"/>
        <w:spacing w:line="538"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color w:val="000000"/>
          <w:sz w:val="32"/>
          <w:szCs w:val="32"/>
        </w:rPr>
        <w:t>营商环境进一步优化。</w:t>
      </w:r>
      <w:r>
        <w:rPr>
          <w:rFonts w:hint="eastAsia" w:ascii="仿宋_GB2312" w:hAnsi="仿宋_GB2312" w:eastAsia="仿宋_GB2312" w:cs="仿宋_GB2312"/>
          <w:color w:val="000000"/>
          <w:sz w:val="32"/>
          <w:szCs w:val="32"/>
        </w:rPr>
        <w:t>成为全国工程勘察设计产业营商环境标杆城市，市场监管更加公平公正，政务服务更加便利高效，政策供给更加丰富有效，工作作风更加严谨务实，产业发展环境实现全国最优。</w:t>
      </w:r>
    </w:p>
    <w:p>
      <w:pPr>
        <w:snapToGrid w:val="0"/>
        <w:spacing w:line="538" w:lineRule="exact"/>
        <w:ind w:firstLine="643"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工程设计产业规模和效益稳步提升。</w:t>
      </w:r>
      <w:r>
        <w:rPr>
          <w:rFonts w:hint="eastAsia" w:ascii="仿宋_GB2312" w:hAnsi="仿宋_GB2312" w:eastAsia="仿宋_GB2312" w:cs="仿宋_GB2312"/>
          <w:color w:val="000000"/>
          <w:sz w:val="32"/>
          <w:szCs w:val="32"/>
        </w:rPr>
        <w:t>企业竞争力明显增强，涌现一批更加强大的国内外领军企业，保持工程勘察设计产业全国领先、世界一流的技术优势，进一步突出武汉工程勘察设计产业在城市现代服务业发展中的独特作用</w:t>
      </w:r>
      <w:r>
        <w:rPr>
          <w:rFonts w:hint="eastAsia" w:ascii="仿宋_GB2312" w:hAnsi="仿宋_GB2312" w:eastAsia="仿宋_GB2312" w:cs="仿宋_GB2312"/>
          <w:color w:val="000000"/>
          <w:sz w:val="32"/>
          <w:szCs w:val="32"/>
          <w:lang w:eastAsia="zh-CN"/>
        </w:rPr>
        <w:t>。</w:t>
      </w:r>
    </w:p>
    <w:p>
      <w:pPr>
        <w:snapToGrid w:val="0"/>
        <w:spacing w:line="53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数字化转型取得明显效果。</w:t>
      </w:r>
      <w:r>
        <w:rPr>
          <w:rFonts w:hint="eastAsia" w:ascii="仿宋_GB2312" w:hAnsi="仿宋_GB2312" w:eastAsia="仿宋_GB2312" w:cs="仿宋_GB2312"/>
          <w:color w:val="000000"/>
          <w:sz w:val="32"/>
          <w:szCs w:val="32"/>
        </w:rPr>
        <w:t>产业链、创新链与城市发展深度融合，武汉设计的科技创新能力不断提升，助力打造全国科技创新中心</w:t>
      </w:r>
      <w:r>
        <w:rPr>
          <w:rFonts w:hint="eastAsia" w:ascii="仿宋_GB2312" w:hAnsi="仿宋_GB2312" w:eastAsia="仿宋_GB2312" w:cs="仿宋_GB2312"/>
          <w:color w:val="000000"/>
          <w:sz w:val="32"/>
          <w:szCs w:val="32"/>
          <w:lang w:eastAsia="zh-CN"/>
        </w:rPr>
        <w:t>。</w:t>
      </w:r>
    </w:p>
    <w:p>
      <w:pPr>
        <w:snapToGrid w:val="0"/>
        <w:spacing w:line="538"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“武汉设计”品牌影响力继续扩大。</w:t>
      </w:r>
      <w:r>
        <w:rPr>
          <w:rFonts w:hint="eastAsia" w:ascii="仿宋_GB2312" w:hAnsi="仿宋_GB2312" w:eastAsia="仿宋_GB2312" w:cs="仿宋_GB2312"/>
          <w:color w:val="000000"/>
          <w:sz w:val="32"/>
          <w:szCs w:val="32"/>
        </w:rPr>
        <w:t>全球创意城市网络的平台作用得到充分体现，武汉建设成为特色鲜明、国际化程度更高的“设计之都”，参与国内外“双循环”战略效果明显，工程勘察设计产业成为武汉双向开放的重要桥梁与媒介</w:t>
      </w:r>
      <w:r>
        <w:rPr>
          <w:rFonts w:hint="eastAsia" w:ascii="仿宋_GB2312" w:hAnsi="仿宋_GB2312" w:eastAsia="仿宋_GB2312" w:cs="仿宋_GB2312"/>
          <w:color w:val="000000"/>
          <w:sz w:val="32"/>
          <w:szCs w:val="32"/>
          <w:lang w:eastAsia="zh-CN"/>
        </w:rPr>
        <w:t>。</w:t>
      </w:r>
    </w:p>
    <w:p>
      <w:pPr>
        <w:spacing w:line="538"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表</w:t>
      </w: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：武汉工程勘察设计产业“十四五”发展主要目标</w:t>
      </w:r>
    </w:p>
    <w:tbl>
      <w:tblPr>
        <w:tblStyle w:val="21"/>
        <w:tblW w:w="94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731"/>
        <w:gridCol w:w="643"/>
        <w:gridCol w:w="1187"/>
        <w:gridCol w:w="873"/>
        <w:gridCol w:w="882"/>
        <w:gridCol w:w="846"/>
        <w:gridCol w:w="846"/>
        <w:gridCol w:w="1071"/>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blHeader/>
        </w:trPr>
        <w:tc>
          <w:tcPr>
            <w:tcW w:w="461"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序号</w:t>
            </w:r>
          </w:p>
        </w:tc>
        <w:tc>
          <w:tcPr>
            <w:tcW w:w="1731"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指标</w:t>
            </w:r>
          </w:p>
        </w:tc>
        <w:tc>
          <w:tcPr>
            <w:tcW w:w="643"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单位</w:t>
            </w:r>
          </w:p>
        </w:tc>
        <w:tc>
          <w:tcPr>
            <w:tcW w:w="1187"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2020年现状值</w:t>
            </w:r>
          </w:p>
        </w:tc>
        <w:tc>
          <w:tcPr>
            <w:tcW w:w="873"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2021</w:t>
            </w:r>
          </w:p>
        </w:tc>
        <w:tc>
          <w:tcPr>
            <w:tcW w:w="882"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2022</w:t>
            </w:r>
          </w:p>
        </w:tc>
        <w:tc>
          <w:tcPr>
            <w:tcW w:w="846"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2023</w:t>
            </w:r>
          </w:p>
        </w:tc>
        <w:tc>
          <w:tcPr>
            <w:tcW w:w="846"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2024</w:t>
            </w:r>
          </w:p>
        </w:tc>
        <w:tc>
          <w:tcPr>
            <w:tcW w:w="1071"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2025年目标值</w:t>
            </w:r>
          </w:p>
        </w:tc>
        <w:tc>
          <w:tcPr>
            <w:tcW w:w="888" w:type="dxa"/>
            <w:vAlign w:val="center"/>
          </w:tcPr>
          <w:p>
            <w:pPr>
              <w:widowControl/>
              <w:jc w:val="center"/>
              <w:rPr>
                <w:rFonts w:ascii="仿宋_GB2312" w:hAnsi="Calibri" w:eastAsia="仿宋_GB2312" w:cs="Calibri"/>
                <w:b/>
                <w:bCs/>
                <w:color w:val="000000"/>
                <w:kern w:val="0"/>
                <w:szCs w:val="21"/>
              </w:rPr>
            </w:pPr>
            <w:r>
              <w:rPr>
                <w:rFonts w:hint="eastAsia" w:ascii="仿宋_GB2312" w:hAnsi="Calibri" w:eastAsia="仿宋_GB2312" w:cs="Calibri"/>
                <w:b/>
                <w:bCs/>
                <w:color w:val="000000"/>
                <w:kern w:val="0"/>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营业收入</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亿元</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1814.8</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2077.9</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2379.2</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2724.2</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3119.3</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3500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营业利润</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亿元</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207.6</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223.4</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240.4</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258.6</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278.3</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300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科技活动</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费用支出</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亿元</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52.6</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59.0</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66.0</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73.9</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82.8</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92.8</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4</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科技活动费用支出占营业收入</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比例</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2.9</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2.94</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2.97</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3.01</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3.05</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3.1</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累积新增</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注册从业</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人员</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万人</w:t>
            </w:r>
          </w:p>
        </w:tc>
        <w:tc>
          <w:tcPr>
            <w:tcW w:w="1187" w:type="dxa"/>
            <w:vAlign w:val="center"/>
          </w:tcPr>
          <w:p>
            <w:pPr>
              <w:widowControl/>
              <w:jc w:val="center"/>
              <w:rPr>
                <w:rFonts w:ascii="仿宋_GB2312" w:hAnsi="Calibri" w:eastAsia="仿宋_GB2312" w:cs="Calibri"/>
                <w:color w:val="000000"/>
                <w:kern w:val="0"/>
                <w:szCs w:val="21"/>
              </w:rPr>
            </w:pP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0.6</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0.65</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0.7</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0.75</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0.8</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6</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注册从业</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人员占比</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17.8</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18.2</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18.7</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19.1</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19.5</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进入全国</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工程勘察设计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企业勘察设计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收入前60名</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企业数量</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家</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7</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9</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拥有工程设计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综合甲级资质</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企业数量</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家</w:t>
            </w:r>
          </w:p>
        </w:tc>
        <w:tc>
          <w:tcPr>
            <w:tcW w:w="1187"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8</w:t>
            </w: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r>
              <w:rPr>
                <w:rFonts w:ascii="仿宋_GB2312" w:hAnsi="Calibri" w:eastAsia="仿宋_GB2312" w:cs="Calibri"/>
                <w:color w:val="000000"/>
                <w:kern w:val="0"/>
                <w:szCs w:val="21"/>
              </w:rPr>
              <w:t>1</w:t>
            </w: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11</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12</w:t>
            </w: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r>
              <w:rPr>
                <w:rFonts w:ascii="仿宋_GB2312" w:hAnsi="Calibri" w:eastAsia="仿宋_GB2312" w:cs="Calibri"/>
                <w:color w:val="000000"/>
                <w:kern w:val="0"/>
                <w:szCs w:val="21"/>
              </w:rPr>
              <w:t>3</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w:t>
            </w:r>
            <w:r>
              <w:rPr>
                <w:rFonts w:ascii="仿宋_GB2312" w:hAnsi="Calibri" w:eastAsia="仿宋_GB2312" w:cs="Calibri"/>
                <w:color w:val="000000"/>
                <w:kern w:val="0"/>
                <w:szCs w:val="21"/>
              </w:rPr>
              <w:t>3</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9</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新增</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国家勘察设计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大师数量</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人</w:t>
            </w:r>
          </w:p>
        </w:tc>
        <w:tc>
          <w:tcPr>
            <w:tcW w:w="1187" w:type="dxa"/>
            <w:vAlign w:val="center"/>
          </w:tcPr>
          <w:p>
            <w:pPr>
              <w:widowControl/>
              <w:jc w:val="center"/>
              <w:rPr>
                <w:rFonts w:ascii="仿宋_GB2312" w:hAnsi="Calibri" w:eastAsia="仿宋_GB2312" w:cs="Calibri"/>
                <w:color w:val="000000"/>
                <w:kern w:val="0"/>
                <w:szCs w:val="21"/>
              </w:rPr>
            </w:pPr>
          </w:p>
        </w:tc>
        <w:tc>
          <w:tcPr>
            <w:tcW w:w="87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w:t>
            </w:r>
          </w:p>
        </w:tc>
        <w:tc>
          <w:tcPr>
            <w:tcW w:w="882" w:type="dxa"/>
            <w:vAlign w:val="center"/>
          </w:tcPr>
          <w:p>
            <w:pPr>
              <w:widowControl/>
              <w:jc w:val="center"/>
              <w:rPr>
                <w:rFonts w:ascii="仿宋_GB2312" w:hAnsi="Calibri" w:eastAsia="仿宋_GB2312" w:cs="Calibri"/>
                <w:color w:val="000000"/>
                <w:kern w:val="0"/>
                <w:szCs w:val="21"/>
              </w:rPr>
            </w:pP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3</w:t>
            </w:r>
          </w:p>
        </w:tc>
        <w:tc>
          <w:tcPr>
            <w:tcW w:w="846" w:type="dxa"/>
            <w:vAlign w:val="center"/>
          </w:tcPr>
          <w:p>
            <w:pPr>
              <w:widowControl/>
              <w:jc w:val="center"/>
              <w:rPr>
                <w:rFonts w:ascii="仿宋_GB2312" w:hAnsi="Calibri" w:eastAsia="仿宋_GB2312" w:cs="Calibri"/>
                <w:color w:val="000000"/>
                <w:kern w:val="0"/>
                <w:szCs w:val="21"/>
              </w:rPr>
            </w:pP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6</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10</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新增省级勘察</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设计大师数量</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人</w:t>
            </w:r>
          </w:p>
        </w:tc>
        <w:tc>
          <w:tcPr>
            <w:tcW w:w="1187" w:type="dxa"/>
            <w:vAlign w:val="center"/>
          </w:tcPr>
          <w:p>
            <w:pPr>
              <w:widowControl/>
              <w:jc w:val="center"/>
              <w:rPr>
                <w:rFonts w:ascii="仿宋_GB2312" w:hAnsi="Calibri" w:eastAsia="仿宋_GB2312" w:cs="Calibri"/>
                <w:color w:val="000000"/>
                <w:kern w:val="0"/>
                <w:szCs w:val="21"/>
              </w:rPr>
            </w:pPr>
          </w:p>
        </w:tc>
        <w:tc>
          <w:tcPr>
            <w:tcW w:w="873" w:type="dxa"/>
            <w:vAlign w:val="center"/>
          </w:tcPr>
          <w:p>
            <w:pPr>
              <w:widowControl/>
              <w:jc w:val="center"/>
              <w:rPr>
                <w:rFonts w:ascii="仿宋_GB2312" w:hAnsi="Calibri" w:eastAsia="仿宋_GB2312" w:cs="Calibri"/>
                <w:color w:val="000000"/>
                <w:kern w:val="0"/>
                <w:szCs w:val="21"/>
              </w:rPr>
            </w:pPr>
          </w:p>
        </w:tc>
        <w:tc>
          <w:tcPr>
            <w:tcW w:w="882"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15</w:t>
            </w:r>
          </w:p>
        </w:tc>
        <w:tc>
          <w:tcPr>
            <w:tcW w:w="846" w:type="dxa"/>
            <w:vAlign w:val="center"/>
          </w:tcPr>
          <w:p>
            <w:pPr>
              <w:widowControl/>
              <w:jc w:val="center"/>
              <w:rPr>
                <w:rFonts w:ascii="仿宋_GB2312" w:hAnsi="Calibri" w:eastAsia="仿宋_GB2312" w:cs="Calibri"/>
                <w:color w:val="000000"/>
                <w:kern w:val="0"/>
                <w:szCs w:val="21"/>
              </w:rPr>
            </w:pPr>
          </w:p>
        </w:tc>
        <w:tc>
          <w:tcPr>
            <w:tcW w:w="846"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5</w:t>
            </w: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11</w:t>
            </w:r>
          </w:p>
        </w:tc>
        <w:tc>
          <w:tcPr>
            <w:tcW w:w="173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新开工政府投资公共工程设计</w:t>
            </w:r>
          </w:p>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数字化交付率</w:t>
            </w:r>
          </w:p>
        </w:tc>
        <w:tc>
          <w:tcPr>
            <w:tcW w:w="643"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w:t>
            </w:r>
          </w:p>
        </w:tc>
        <w:tc>
          <w:tcPr>
            <w:tcW w:w="1187" w:type="dxa"/>
            <w:vAlign w:val="center"/>
          </w:tcPr>
          <w:p>
            <w:pPr>
              <w:widowControl/>
              <w:jc w:val="center"/>
              <w:rPr>
                <w:rFonts w:ascii="仿宋_GB2312" w:hAnsi="Calibri" w:eastAsia="仿宋_GB2312" w:cs="Calibri"/>
                <w:color w:val="000000"/>
                <w:kern w:val="0"/>
                <w:szCs w:val="21"/>
              </w:rPr>
            </w:pPr>
          </w:p>
        </w:tc>
        <w:tc>
          <w:tcPr>
            <w:tcW w:w="873" w:type="dxa"/>
            <w:vAlign w:val="center"/>
          </w:tcPr>
          <w:p>
            <w:pPr>
              <w:widowControl/>
              <w:jc w:val="center"/>
              <w:rPr>
                <w:rFonts w:ascii="仿宋_GB2312" w:hAnsi="Calibri" w:eastAsia="仿宋_GB2312" w:cs="Calibri"/>
                <w:color w:val="000000"/>
                <w:kern w:val="0"/>
                <w:szCs w:val="21"/>
              </w:rPr>
            </w:pPr>
          </w:p>
        </w:tc>
        <w:tc>
          <w:tcPr>
            <w:tcW w:w="882" w:type="dxa"/>
            <w:vAlign w:val="center"/>
          </w:tcPr>
          <w:p>
            <w:pPr>
              <w:widowControl/>
              <w:jc w:val="center"/>
              <w:rPr>
                <w:rFonts w:ascii="仿宋_GB2312" w:hAnsi="Calibri" w:eastAsia="仿宋_GB2312" w:cs="Calibri"/>
                <w:color w:val="000000"/>
                <w:kern w:val="0"/>
                <w:szCs w:val="21"/>
              </w:rPr>
            </w:pPr>
          </w:p>
        </w:tc>
        <w:tc>
          <w:tcPr>
            <w:tcW w:w="846" w:type="dxa"/>
            <w:vAlign w:val="center"/>
          </w:tcPr>
          <w:p>
            <w:pPr>
              <w:widowControl/>
              <w:jc w:val="center"/>
              <w:rPr>
                <w:rFonts w:ascii="仿宋_GB2312" w:hAnsi="Calibri" w:eastAsia="仿宋_GB2312" w:cs="Calibri"/>
                <w:color w:val="000000"/>
                <w:kern w:val="0"/>
                <w:szCs w:val="21"/>
              </w:rPr>
            </w:pPr>
          </w:p>
        </w:tc>
        <w:tc>
          <w:tcPr>
            <w:tcW w:w="846" w:type="dxa"/>
            <w:vAlign w:val="center"/>
          </w:tcPr>
          <w:p>
            <w:pPr>
              <w:widowControl/>
              <w:jc w:val="center"/>
              <w:rPr>
                <w:rFonts w:ascii="仿宋_GB2312" w:hAnsi="Calibri" w:eastAsia="仿宋_GB2312" w:cs="Calibri"/>
                <w:color w:val="000000"/>
                <w:kern w:val="0"/>
                <w:szCs w:val="21"/>
              </w:rPr>
            </w:pPr>
          </w:p>
        </w:tc>
        <w:tc>
          <w:tcPr>
            <w:tcW w:w="1071"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100</w:t>
            </w:r>
          </w:p>
        </w:tc>
        <w:tc>
          <w:tcPr>
            <w:tcW w:w="888" w:type="dxa"/>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预期性</w:t>
            </w:r>
          </w:p>
        </w:tc>
      </w:tr>
    </w:tbl>
    <w:p>
      <w:pPr>
        <w:pStyle w:val="4"/>
        <w:spacing w:before="0" w:after="0" w:line="578" w:lineRule="exact"/>
        <w:ind w:firstLine="640" w:firstLineChars="200"/>
        <w:rPr>
          <w:rFonts w:ascii="黑体" w:hAnsi="黑体" w:eastAsia="黑体" w:cs="黑体"/>
          <w:b w:val="0"/>
          <w:bCs w:val="0"/>
          <w:color w:val="000000"/>
          <w:sz w:val="32"/>
          <w:szCs w:val="32"/>
        </w:rPr>
      </w:pPr>
      <w:bookmarkStart w:id="30" w:name="_Toc106289703"/>
      <w:r>
        <w:rPr>
          <w:rFonts w:hint="eastAsia" w:ascii="黑体" w:hAnsi="黑体" w:eastAsia="黑体" w:cs="黑体"/>
          <w:b w:val="0"/>
          <w:bCs w:val="0"/>
          <w:color w:val="000000"/>
          <w:sz w:val="32"/>
          <w:szCs w:val="32"/>
        </w:rPr>
        <w:t>四、主要任务</w:t>
      </w:r>
      <w:bookmarkEnd w:id="30"/>
    </w:p>
    <w:p>
      <w:pPr>
        <w:pStyle w:val="5"/>
        <w:spacing w:before="0" w:after="0" w:line="578" w:lineRule="exact"/>
        <w:ind w:firstLine="643" w:firstLineChars="200"/>
        <w:rPr>
          <w:rFonts w:ascii="楷体_GB2312" w:eastAsia="楷体_GB2312"/>
          <w:color w:val="000000"/>
        </w:rPr>
      </w:pPr>
      <w:bookmarkStart w:id="31" w:name="_Toc106289704"/>
      <w:bookmarkStart w:id="32" w:name="_Hlk69083610"/>
      <w:r>
        <w:rPr>
          <w:rFonts w:hint="eastAsia" w:ascii="楷体_GB2312" w:eastAsia="楷体_GB2312"/>
          <w:color w:val="000000"/>
        </w:rPr>
        <w:t>（一）积极优化产业体系</w:t>
      </w:r>
      <w:bookmarkEnd w:id="31"/>
    </w:p>
    <w:bookmarkEnd w:id="32"/>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1.加快优化产业结构</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做强工程勘察设计，做大以设计为龙头的工程总承包，加快推进工程建设全过程咨询服务模式。支持和鼓励设计企业，对标高端设计服务，以方案设计环节为切入点，建立国内外合作机制，全面提高方案设计在勘察设计市场的竞争能力，带动工程设计服务质量全面提升。发挥以工程设计企业的技术优势，加强与金融资本的对接，提高开发市场的竞争力，推动工程总承包业务扩量增效。加快开展我市工程建设全过程咨询服务，不断完善相关制度，总结推广经验成果，支持和鼓励工程设计企业探索实施工程建设全过程咨询服务的新型管理制度、商业模式，推动服务模式转型，</w:t>
      </w:r>
      <w:r>
        <w:rPr>
          <w:rFonts w:hint="eastAsia" w:ascii="仿宋_GB2312" w:hAnsi="仿宋_GB2312" w:eastAsia="仿宋_GB2312" w:cs="仿宋_GB2312"/>
          <w:sz w:val="32"/>
          <w:szCs w:val="32"/>
        </w:rPr>
        <w:t>将服务链向前延伸到项目策划、咨询，向后拓展到项目后评估、运营管理等环节，</w:t>
      </w:r>
      <w:r>
        <w:rPr>
          <w:rFonts w:hint="eastAsia" w:ascii="仿宋_GB2312" w:hAnsi="仿宋_GB2312" w:eastAsia="仿宋_GB2312" w:cs="仿宋_GB2312"/>
          <w:color w:val="000000"/>
          <w:sz w:val="32"/>
          <w:szCs w:val="32"/>
        </w:rPr>
        <w:t>延伸工程设计的产业链、价值链</w:t>
      </w:r>
      <w:r>
        <w:rPr>
          <w:rFonts w:ascii="仿宋_GB2312" w:hAnsi="仿宋_GB2312" w:eastAsia="仿宋_GB2312" w:cs="仿宋_GB2312"/>
          <w:color w:val="000000"/>
          <w:sz w:val="32"/>
          <w:szCs w:val="32"/>
        </w:rPr>
        <w:t>，提高投资效益</w:t>
      </w:r>
      <w:r>
        <w:rPr>
          <w:rFonts w:hint="eastAsia" w:ascii="仿宋_GB2312" w:hAnsi="仿宋_GB2312" w:eastAsia="仿宋_GB2312" w:cs="仿宋_GB2312"/>
          <w:color w:val="000000"/>
          <w:sz w:val="32"/>
          <w:szCs w:val="32"/>
        </w:rPr>
        <w:t>。</w:t>
      </w:r>
    </w:p>
    <w:p>
      <w:pPr>
        <w:pStyle w:val="6"/>
        <w:spacing w:before="0" w:after="0" w:line="578" w:lineRule="exact"/>
        <w:ind w:firstLine="643" w:firstLineChars="200"/>
        <w:rPr>
          <w:rFonts w:ascii="仿宋_GB2312" w:eastAsia="仿宋_GB2312"/>
          <w:color w:val="000000"/>
        </w:rPr>
      </w:pPr>
      <w:bookmarkStart w:id="33" w:name="_Hlk69083580"/>
      <w:r>
        <w:rPr>
          <w:rFonts w:hint="eastAsia" w:ascii="仿宋_GB2312" w:eastAsia="仿宋_GB2312"/>
          <w:color w:val="000000"/>
        </w:rPr>
        <w:t>2.打造我市工程设计优势产业集群</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促进工程设计产业集群化发展。</w:t>
      </w:r>
      <w:r>
        <w:rPr>
          <w:rFonts w:hint="eastAsia" w:ascii="仿宋_GB2312" w:hAnsi="仿宋_GB2312" w:eastAsia="仿宋_GB2312" w:cs="仿宋_GB2312"/>
          <w:sz w:val="32"/>
          <w:szCs w:val="32"/>
        </w:rPr>
        <w:t>着力打造“设计</w:t>
      </w:r>
      <w:r>
        <w:rPr>
          <w:rFonts w:ascii="仿宋_GB2312" w:hAnsi="仿宋_GB2312" w:eastAsia="仿宋_GB2312" w:cs="仿宋_GB2312"/>
          <w:sz w:val="32"/>
          <w:szCs w:val="32"/>
        </w:rPr>
        <w:t>+双碳”、“设计+智慧”等相结合</w:t>
      </w:r>
      <w:r>
        <w:rPr>
          <w:rFonts w:hint="eastAsia" w:ascii="仿宋_GB2312" w:hAnsi="仿宋_GB2312" w:eastAsia="仿宋_GB2312" w:cs="仿宋_GB2312"/>
          <w:sz w:val="32"/>
          <w:szCs w:val="32"/>
        </w:rPr>
        <w:t>的绿色综合交通、绿色建筑景观、绿色水环境治理、绿色电力清洁能源、绿色循环经济、绿色地下空间等工程设计产业集群。</w:t>
      </w:r>
      <w:r>
        <w:rPr>
          <w:rFonts w:hint="eastAsia" w:ascii="仿宋_GB2312" w:hAnsi="仿宋_GB2312" w:eastAsia="仿宋_GB2312" w:cs="仿宋_GB2312"/>
          <w:color w:val="000000"/>
          <w:sz w:val="32"/>
          <w:szCs w:val="32"/>
        </w:rPr>
        <w:t>充分发挥我市设计企业分布密集、配套条件完善的优势，</w:t>
      </w:r>
      <w:r>
        <w:rPr>
          <w:rFonts w:hint="eastAsia" w:ascii="仿宋_GB2312" w:hAnsi="仿宋_GB2312" w:eastAsia="仿宋_GB2312" w:cs="仿宋_GB2312"/>
          <w:sz w:val="32"/>
          <w:szCs w:val="32"/>
        </w:rPr>
        <w:t>加强市区联动，建设工程设计产业园区，</w:t>
      </w:r>
      <w:r>
        <w:rPr>
          <w:rFonts w:hint="eastAsia" w:ascii="仿宋_GB2312" w:hAnsi="仿宋_GB2312" w:eastAsia="仿宋_GB2312" w:cs="仿宋_GB2312"/>
          <w:color w:val="000000"/>
          <w:sz w:val="32"/>
          <w:szCs w:val="32"/>
        </w:rPr>
        <w:t>推动武汉工程设计</w:t>
      </w:r>
      <w:r>
        <w:rPr>
          <w:rFonts w:hint="eastAsia" w:ascii="仿宋_GB2312" w:hAnsi="仿宋_GB2312" w:eastAsia="仿宋_GB2312" w:cs="仿宋_GB2312"/>
          <w:sz w:val="32"/>
          <w:szCs w:val="32"/>
        </w:rPr>
        <w:t>产业</w:t>
      </w:r>
      <w:r>
        <w:rPr>
          <w:rFonts w:hint="eastAsia" w:ascii="仿宋_GB2312" w:hAnsi="仿宋_GB2312" w:eastAsia="仿宋_GB2312" w:cs="仿宋_GB2312"/>
          <w:color w:val="000000"/>
          <w:sz w:val="32"/>
          <w:szCs w:val="32"/>
        </w:rPr>
        <w:t>从集聚向集群方向发展，全面提升武汉工程设计产业在国内外市场的竞争力。</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3.推动设计与施工融合发展</w:t>
      </w:r>
    </w:p>
    <w:p>
      <w:pPr>
        <w:spacing w:line="578"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扩大设计产业发展动能，推动设计与施工融合发展。顺应工程建设</w:t>
      </w:r>
      <w:r>
        <w:rPr>
          <w:rFonts w:hint="eastAsia" w:ascii="仿宋_GB2312" w:hAnsi="仿宋_GB2312" w:eastAsia="仿宋_GB2312" w:cs="仿宋_GB2312"/>
          <w:color w:val="000000"/>
          <w:sz w:val="32"/>
          <w:szCs w:val="32"/>
        </w:rPr>
        <w:t>模式</w:t>
      </w:r>
      <w:r>
        <w:rPr>
          <w:rFonts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rPr>
        <w:t>智慧</w:t>
      </w:r>
      <w:r>
        <w:rPr>
          <w:rFonts w:ascii="仿宋_GB2312" w:hAnsi="仿宋_GB2312" w:eastAsia="仿宋_GB2312" w:cs="仿宋_GB2312"/>
          <w:color w:val="000000"/>
          <w:sz w:val="32"/>
          <w:szCs w:val="32"/>
        </w:rPr>
        <w:t>建造转变的趋势，鼓励设计企业和施工企业通过整合产业链</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服务链，提供设计施工一体化服务。</w:t>
      </w:r>
      <w:r>
        <w:rPr>
          <w:rFonts w:hint="eastAsia" w:ascii="仿宋_GB2312" w:hAnsi="仿宋_GB2312" w:eastAsia="仿宋_GB2312" w:cs="仿宋_GB2312"/>
          <w:color w:val="000000"/>
          <w:sz w:val="32"/>
          <w:szCs w:val="32"/>
        </w:rPr>
        <w:t>支持工程设计龙头企业牵头组织实施工艺主导型、创意主导型的工业与民用建筑工程总承包项目。</w:t>
      </w:r>
      <w:r>
        <w:rPr>
          <w:rFonts w:ascii="仿宋_GB2312" w:hAnsi="仿宋_GB2312" w:eastAsia="仿宋_GB2312" w:cs="仿宋_GB2312"/>
          <w:color w:val="000000"/>
          <w:sz w:val="32"/>
          <w:szCs w:val="32"/>
        </w:rPr>
        <w:t>支持</w:t>
      </w:r>
      <w:r>
        <w:rPr>
          <w:rFonts w:hint="eastAsia" w:ascii="仿宋_GB2312" w:hAnsi="仿宋_GB2312" w:eastAsia="仿宋_GB2312" w:cs="仿宋_GB2312"/>
          <w:color w:val="000000"/>
          <w:sz w:val="32"/>
          <w:szCs w:val="32"/>
        </w:rPr>
        <w:t>符合条件的设计、施工企业申报相应的施工、设计资质，支持设计、施工企业通过兼并重组完善施工、设计“双资质”。</w:t>
      </w:r>
    </w:p>
    <w:bookmarkEnd w:id="33"/>
    <w:p>
      <w:pPr>
        <w:pStyle w:val="5"/>
        <w:spacing w:before="0" w:after="0" w:line="578" w:lineRule="exact"/>
        <w:ind w:firstLine="643" w:firstLineChars="200"/>
        <w:rPr>
          <w:rFonts w:ascii="楷体_GB2312" w:eastAsia="楷体_GB2312"/>
          <w:color w:val="000000"/>
        </w:rPr>
      </w:pPr>
      <w:bookmarkStart w:id="34" w:name="_Toc106289705"/>
      <w:r>
        <w:rPr>
          <w:rFonts w:hint="eastAsia" w:ascii="楷体_GB2312" w:eastAsia="楷体_GB2312"/>
          <w:color w:val="000000"/>
        </w:rPr>
        <w:t>（二）培育多层次的市场主体</w:t>
      </w:r>
      <w:bookmarkEnd w:id="34"/>
    </w:p>
    <w:p>
      <w:pPr>
        <w:pStyle w:val="6"/>
        <w:spacing w:before="0" w:after="0" w:line="578" w:lineRule="exact"/>
        <w:ind w:firstLine="643" w:firstLineChars="200"/>
        <w:rPr>
          <w:rFonts w:ascii="仿宋_GB2312" w:eastAsia="仿宋_GB2312"/>
          <w:color w:val="000000"/>
        </w:rPr>
      </w:pPr>
      <w:bookmarkStart w:id="35" w:name="_Hlk69047774"/>
      <w:r>
        <w:rPr>
          <w:rFonts w:hint="eastAsia" w:ascii="仿宋_GB2312" w:eastAsia="仿宋_GB2312"/>
          <w:color w:val="000000"/>
        </w:rPr>
        <w:t>1.大力支持产业生态引领型企业</w:t>
      </w:r>
    </w:p>
    <w:bookmarkEnd w:id="35"/>
    <w:p>
      <w:pPr>
        <w:spacing w:line="578"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鼓励大型设计企业发展成为与国际接轨的工程公司。支持和鼓励有条件的龙头设计企业，立足自身核心竞争力，发挥专业优势，构建集策划、投资、设计、管理、采购、运营、后评估等为一体的功能完善的</w:t>
      </w:r>
      <w:r>
        <w:rPr>
          <w:rFonts w:ascii="仿宋_GB2312" w:hAnsi="仿宋_GB2312" w:eastAsia="仿宋_GB2312" w:cs="仿宋_GB2312"/>
          <w:color w:val="000000"/>
          <w:sz w:val="32"/>
          <w:szCs w:val="32"/>
        </w:rPr>
        <w:t>集团型工程公司，</w:t>
      </w:r>
      <w:r>
        <w:rPr>
          <w:rFonts w:hint="eastAsia" w:ascii="仿宋_GB2312" w:hAnsi="仿宋_GB2312" w:eastAsia="仿宋_GB2312" w:cs="仿宋_GB2312"/>
          <w:color w:val="000000"/>
          <w:sz w:val="32"/>
          <w:szCs w:val="32"/>
        </w:rPr>
        <w:t>积极整合产业链供应链，加强与产业上下游企业之间的战略合作，打造战略协同、创新协同、市场协同、要素协同的产业生态，打造培育一批产业生态引领型工程设计企业。</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2.着力培育“专精特新”企业</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支持和引导企业注重细分市场和细分行业，开创专业化、精细化、特色化、新颖化的发展道路，努力研发拥有自主知识产权的专利技术，不断推进科技创新。推进精细化设计服务，创新商业服务模式，不断提高设计服务能力，形成一批在细分行业拥有较高市场占有率及核心专利技术的“隐形冠军”，并支持其申报市区</w:t>
      </w:r>
      <w:r>
        <w:rPr>
          <w:rFonts w:hint="eastAsia" w:ascii="仿宋_GB2312" w:hAnsi="仿宋_GB2312" w:eastAsia="仿宋_GB2312" w:cs="仿宋_GB2312"/>
          <w:sz w:val="32"/>
          <w:szCs w:val="32"/>
        </w:rPr>
        <w:t>“瞪羚企业”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着重支持发展一批拥有掌握关键技术、在本行业具有市场领先地位的企业，支持其申报国家和省级“专精特新”企业，并逐步培育出若干“独角兽”企业。</w:t>
      </w:r>
    </w:p>
    <w:p>
      <w:pPr>
        <w:pStyle w:val="6"/>
        <w:spacing w:before="0" w:after="0" w:line="578" w:lineRule="exact"/>
        <w:ind w:firstLine="643" w:firstLineChars="200"/>
        <w:rPr>
          <w:rFonts w:ascii="仿宋_GB2312" w:eastAsia="仿宋_GB2312"/>
          <w:color w:val="000000"/>
        </w:rPr>
      </w:pPr>
      <w:bookmarkStart w:id="36" w:name="_Hlk69031755"/>
      <w:r>
        <w:rPr>
          <w:rFonts w:hint="eastAsia" w:ascii="仿宋_GB2312" w:eastAsia="仿宋_GB2312"/>
          <w:color w:val="000000"/>
        </w:rPr>
        <w:t>3.激发中小型设计企业的活力</w:t>
      </w:r>
    </w:p>
    <w:bookmarkEnd w:id="36"/>
    <w:p>
      <w:pPr>
        <w:spacing w:line="578" w:lineRule="exact"/>
        <w:ind w:firstLine="640" w:firstLineChars="200"/>
        <w:rPr>
          <w:rFonts w:ascii="仿宋_GB2312" w:hAnsi="仿宋_GB2312" w:eastAsia="仿宋_GB2312" w:cs="仿宋_GB2312"/>
          <w:color w:val="000000"/>
          <w:sz w:val="32"/>
          <w:szCs w:val="32"/>
          <w:shd w:val="clear" w:color="FFFFFF" w:fill="D9D9D9"/>
        </w:rPr>
      </w:pPr>
      <w:bookmarkStart w:id="37" w:name="_Hlk69031725"/>
      <w:r>
        <w:rPr>
          <w:rFonts w:hint="eastAsia" w:ascii="仿宋_GB2312" w:hAnsi="仿宋_GB2312" w:eastAsia="仿宋_GB2312" w:cs="仿宋_GB2312"/>
          <w:color w:val="000000"/>
          <w:sz w:val="32"/>
          <w:szCs w:val="32"/>
        </w:rPr>
        <w:t>支持武汉工程设计产业联盟等行业社团组织，搭建中小设计企业公共服务平台，为中小设计企业提供优质的技术研发、数字化转型、人才培训、金融服务、市场拓展、资源对接、品牌建设、法律咨询等服务。鼓励中小设计企业主动联合打造跨界融合的产业联盟，增强竞争优势。提高中小企业在政府投资工程采购中的市场份额，探索在市政、公共建筑项目招投标中实施分级分类管理，弱化对资质和项目经验的要求，为民营和中小设计企业创造更多公平参与机会。</w:t>
      </w:r>
      <w:bookmarkEnd w:id="37"/>
    </w:p>
    <w:p>
      <w:pPr>
        <w:pStyle w:val="5"/>
        <w:spacing w:before="0" w:after="0" w:line="578" w:lineRule="exact"/>
        <w:ind w:firstLine="643" w:firstLineChars="200"/>
        <w:rPr>
          <w:rFonts w:ascii="楷体_GB2312" w:eastAsia="楷体_GB2312"/>
          <w:color w:val="000000"/>
        </w:rPr>
      </w:pPr>
      <w:bookmarkStart w:id="38" w:name="_Toc106289706"/>
      <w:bookmarkStart w:id="39" w:name="_Hlk67323562"/>
      <w:bookmarkStart w:id="40" w:name="_Hlk67323824"/>
      <w:r>
        <w:rPr>
          <w:rFonts w:hint="eastAsia" w:ascii="楷体_GB2312" w:eastAsia="楷体_GB2312"/>
          <w:color w:val="000000"/>
        </w:rPr>
        <w:t>（三）加快产业数字化转型</w:t>
      </w:r>
      <w:bookmarkEnd w:id="38"/>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1.营造数字化转型发展环境</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武汉市智慧城市、数字经济、CIM城市建设等数字化建设相关政策导向，做好与工程勘察设计产业的应用衔接。推动建立由政府主导的面向工程勘察设计产业的“大数据市场”，推进空间、国土、建筑、基础设施等相关领域数据的逐步开放、共享、交易，为产业数字化转型和应用提供市场条件。探索建立融合遥感信息、城市多维地理空间信息、城市感知信息等多源信息，建立城市管理三维空间全要素的“武汉市城市信息模型管理平台”，为产业数字化转型和城市建设管理决策提供平台支撑</w:t>
      </w:r>
      <w:r>
        <w:rPr>
          <w:rFonts w:ascii="仿宋_GB2312" w:hAnsi="仿宋_GB2312" w:eastAsia="仿宋_GB2312" w:cs="仿宋_GB2312"/>
          <w:color w:val="000000"/>
          <w:sz w:val="32"/>
          <w:szCs w:val="32"/>
        </w:rPr>
        <w:t>。积极推动数据格式和标准体系重构，打通数据底层，连通设计、施工、运营等上下游环节，以数据要素流动</w:t>
      </w:r>
      <w:r>
        <w:rPr>
          <w:rFonts w:hint="eastAsia" w:ascii="仿宋_GB2312" w:hAnsi="仿宋_GB2312" w:eastAsia="仿宋_GB2312" w:cs="仿宋_GB2312"/>
          <w:color w:val="000000"/>
          <w:sz w:val="32"/>
          <w:szCs w:val="32"/>
        </w:rPr>
        <w:t>提升产</w:t>
      </w:r>
      <w:r>
        <w:rPr>
          <w:rFonts w:ascii="仿宋_GB2312" w:hAnsi="仿宋_GB2312" w:eastAsia="仿宋_GB2312" w:cs="仿宋_GB2312"/>
          <w:color w:val="000000"/>
          <w:sz w:val="32"/>
          <w:szCs w:val="32"/>
        </w:rPr>
        <w:t>业价值。</w:t>
      </w:r>
      <w:r>
        <w:rPr>
          <w:rFonts w:hint="eastAsia" w:ascii="仿宋_GB2312" w:hAnsi="仿宋_GB2312" w:eastAsia="仿宋_GB2312" w:cs="仿宋_GB2312"/>
          <w:color w:val="000000"/>
          <w:sz w:val="32"/>
          <w:szCs w:val="32"/>
        </w:rPr>
        <w:t>鼓励武汉工程勘察设计产业龙头企业及武汉数字建造产业联盟等单位主动承担或参与“卡脖子”软件技术的攻关工作。大力支持中信数智武汉科技公司等跨界数字化企业承接国家级重大科技专项，加快设计软件换“中国芯”、建造上“中国云”，打破国外软件垄断，保障建设工程基础数据安全。</w:t>
      </w:r>
    </w:p>
    <w:p>
      <w:pPr>
        <w:pStyle w:val="6"/>
        <w:spacing w:before="0" w:after="0" w:line="578" w:lineRule="exact"/>
        <w:ind w:firstLine="643" w:firstLineChars="200"/>
        <w:rPr>
          <w:rFonts w:ascii="仿宋_GB2312" w:eastAsia="仿宋_GB2312"/>
          <w:color w:val="000000"/>
        </w:rPr>
      </w:pPr>
      <w:bookmarkStart w:id="41" w:name="_Hlk69053143"/>
      <w:r>
        <w:rPr>
          <w:rFonts w:hint="eastAsia" w:ascii="仿宋_GB2312" w:eastAsia="仿宋_GB2312"/>
          <w:color w:val="000000"/>
        </w:rPr>
        <w:t>2.推动数字化技术的运用</w:t>
      </w:r>
    </w:p>
    <w:bookmarkEnd w:id="41"/>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勘察设计企业在建筑工业化、数字化、智能化广泛融合，大数据、云计算、物联网技术开展深入研究，应对工程建设全产业链分工发生的深刻变化，抢抓数字化转型机遇，推进数字化业务创新、技术服务创新和管理模式创新。</w:t>
      </w:r>
      <w:bookmarkStart w:id="42" w:name="_Hlk69053526"/>
      <w:bookmarkStart w:id="43" w:name="_Hlk69053122"/>
      <w:r>
        <w:rPr>
          <w:rFonts w:hint="eastAsia" w:ascii="仿宋_GB2312" w:hAnsi="仿宋_GB2312" w:eastAsia="仿宋_GB2312" w:cs="仿宋_GB2312"/>
          <w:color w:val="000000"/>
          <w:sz w:val="32"/>
          <w:szCs w:val="32"/>
        </w:rPr>
        <w:t>充分发挥BIM对工程勘察设计产业延伸服务链和提高服务品质的重要作用，将其作为工程勘察设计企业开展工程建设全过程咨询服务、工程建设总承包业务的重要支撑。</w:t>
      </w:r>
      <w:bookmarkEnd w:id="39"/>
      <w:bookmarkEnd w:id="42"/>
      <w:bookmarkEnd w:id="43"/>
      <w:r>
        <w:rPr>
          <w:rFonts w:hint="eastAsia" w:ascii="仿宋_GB2312" w:hAnsi="仿宋_GB2312" w:eastAsia="仿宋_GB2312" w:cs="仿宋_GB2312"/>
          <w:color w:val="000000"/>
          <w:sz w:val="32"/>
          <w:szCs w:val="32"/>
        </w:rPr>
        <w:t>在政府投资的大型公共建筑和市政基础设施工程全面开展</w:t>
      </w:r>
      <w:r>
        <w:rPr>
          <w:rFonts w:ascii="仿宋_GB2312" w:hAnsi="仿宋_GB2312" w:eastAsia="仿宋_GB2312" w:cs="仿宋_GB2312"/>
          <w:color w:val="000000"/>
          <w:sz w:val="32"/>
          <w:szCs w:val="32"/>
        </w:rPr>
        <w:t>BIM应用</w:t>
      </w:r>
      <w:r>
        <w:rPr>
          <w:rFonts w:hint="eastAsia" w:ascii="仿宋_GB2312" w:hAnsi="仿宋_GB2312" w:eastAsia="仿宋_GB2312" w:cs="仿宋_GB2312"/>
          <w:color w:val="000000"/>
          <w:sz w:val="32"/>
          <w:szCs w:val="32"/>
        </w:rPr>
        <w:t>，积极谋划和推出一批示范项目，促进以自主可控BIM软件为核心的成果转化和推广。率先探索建立数字资产估价机制，研究出台《</w:t>
      </w:r>
      <w:r>
        <w:rPr>
          <w:rFonts w:ascii="仿宋_GB2312" w:hAnsi="仿宋_GB2312" w:eastAsia="仿宋_GB2312" w:cs="仿宋_GB2312"/>
          <w:color w:val="000000"/>
          <w:sz w:val="32"/>
          <w:szCs w:val="32"/>
        </w:rPr>
        <w:t>BIM技术推广应用计费标准》，</w:t>
      </w:r>
      <w:r>
        <w:rPr>
          <w:rFonts w:hint="eastAsia" w:ascii="仿宋_GB2312" w:hAnsi="仿宋_GB2312" w:eastAsia="仿宋_GB2312" w:cs="仿宋_GB2312"/>
          <w:color w:val="000000"/>
          <w:sz w:val="32"/>
          <w:szCs w:val="32"/>
        </w:rPr>
        <w:t>在工程投资概算中单独列项计取</w:t>
      </w:r>
      <w:r>
        <w:rPr>
          <w:rFonts w:ascii="仿宋_GB2312" w:hAnsi="仿宋_GB2312" w:eastAsia="仿宋_GB2312" w:cs="仿宋_GB2312"/>
          <w:color w:val="000000"/>
          <w:sz w:val="32"/>
          <w:szCs w:val="32"/>
        </w:rPr>
        <w:t>BIM技术</w:t>
      </w:r>
      <w:r>
        <w:rPr>
          <w:rFonts w:hint="eastAsia" w:ascii="仿宋_GB2312" w:hAnsi="仿宋_GB2312" w:eastAsia="仿宋_GB2312" w:cs="仿宋_GB2312"/>
          <w:color w:val="000000"/>
          <w:sz w:val="32"/>
          <w:szCs w:val="32"/>
        </w:rPr>
        <w:t>服务</w:t>
      </w:r>
      <w:r>
        <w:rPr>
          <w:rFonts w:ascii="仿宋_GB2312" w:hAnsi="仿宋_GB2312" w:eastAsia="仿宋_GB2312" w:cs="仿宋_GB2312"/>
          <w:color w:val="000000"/>
          <w:sz w:val="32"/>
          <w:szCs w:val="32"/>
        </w:rPr>
        <w:t>费</w:t>
      </w:r>
      <w:r>
        <w:rPr>
          <w:rFonts w:hint="eastAsia" w:ascii="仿宋_GB2312" w:hAnsi="仿宋_GB2312" w:eastAsia="仿宋_GB2312" w:cs="仿宋_GB2312"/>
          <w:color w:val="000000"/>
          <w:sz w:val="32"/>
          <w:szCs w:val="32"/>
        </w:rPr>
        <w:t>，促进工程建设三维数字化成果交付，到“十四五”期末，力争新开工政府投资建设工程数字化交付率达到100%。</w:t>
      </w:r>
    </w:p>
    <w:bookmarkEnd w:id="40"/>
    <w:p>
      <w:pPr>
        <w:pStyle w:val="5"/>
        <w:spacing w:before="0" w:after="0" w:line="578" w:lineRule="exact"/>
        <w:ind w:firstLine="643" w:firstLineChars="200"/>
        <w:rPr>
          <w:rFonts w:ascii="楷体_GB2312" w:eastAsia="楷体_GB2312"/>
          <w:color w:val="000000"/>
        </w:rPr>
      </w:pPr>
      <w:bookmarkStart w:id="44" w:name="_Toc106289707"/>
      <w:r>
        <w:rPr>
          <w:rFonts w:hint="eastAsia" w:ascii="楷体_GB2312" w:eastAsia="楷体_GB2312"/>
          <w:color w:val="000000"/>
        </w:rPr>
        <w:t>（四）进一步提升“武汉设计”品牌影响力</w:t>
      </w:r>
      <w:bookmarkEnd w:id="44"/>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1.充分发挥武汉“设计之都”品牌作用</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参加联合国教科文组织创意城市网络的活动，主动承担网络义务，进一步提升武汉在创意城市网络尤其是“设计之都”子网络中的影响力。申请主办“设计之都”子网络年会，办好武汉设计之都圆桌会议。积极谋划利用“中法武汉生态新城”，加强武汉与法国在工程设计领域的深度合作。通过开展设计进社区、进校园、进村庄活动，让市民参与设计，提升对工程设计的认知和了解。将武汉“设计之都”品牌提升与设计产业发展紧密结合，不断创新宣传手段</w:t>
      </w:r>
      <w:r>
        <w:rPr>
          <w:rFonts w:hint="eastAsia" w:ascii="仿宋_GB2312" w:hAnsi="仿宋_GB2312" w:eastAsia="仿宋_GB2312" w:cs="仿宋_GB2312"/>
          <w:sz w:val="32"/>
          <w:szCs w:val="32"/>
        </w:rPr>
        <w:t>，充分利用各种媒体尤其是互联网媒体的优势，</w:t>
      </w:r>
      <w:r>
        <w:rPr>
          <w:rFonts w:hint="eastAsia" w:ascii="仿宋_GB2312" w:hAnsi="仿宋_GB2312" w:eastAsia="仿宋_GB2312" w:cs="仿宋_GB2312"/>
          <w:color w:val="000000"/>
          <w:sz w:val="32"/>
          <w:szCs w:val="32"/>
        </w:rPr>
        <w:t>努力提升武汉“设计之都”的美誉度和知晓率。</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2.培育世界一流的工程设计品牌</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科技+艺术”的发展理念，充分发挥龙头企业、社团组织的桥梁和纽带作用，推进工程设计与创意设计、工业设计跨界融合，在建筑与景观、桥梁、水利、新能源工程等方面，实现工程技术、功能与美学相融合，树立优秀的武汉设计品牌。</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3.鼓励申报国际设计大奖</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支持和鼓励武汉工程勘察设计企业积极参与申报普利兹克建筑奖</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国际桥梁大会（IBC）奖</w:t>
      </w:r>
      <w:r>
        <w:rPr>
          <w:rFonts w:ascii="仿宋_GB2312" w:hAnsi="仿宋_GB2312" w:eastAsia="仿宋_GB2312" w:cs="仿宋_GB2312"/>
          <w:color w:val="000000"/>
          <w:sz w:val="32"/>
          <w:szCs w:val="32"/>
        </w:rPr>
        <w:t>等一流</w:t>
      </w:r>
      <w:r>
        <w:rPr>
          <w:rFonts w:hint="eastAsia" w:ascii="仿宋_GB2312" w:hAnsi="仿宋_GB2312" w:eastAsia="仿宋_GB2312" w:cs="仿宋_GB2312"/>
          <w:color w:val="000000"/>
          <w:sz w:val="32"/>
          <w:szCs w:val="32"/>
        </w:rPr>
        <w:t>国际设计大奖，产生在国际上具有影响力的设计大师。引导和鼓励设计企业选择合适的奖项和项目，申报国际设计大奖，提升武汉设计的影响力。</w:t>
      </w:r>
    </w:p>
    <w:p>
      <w:pPr>
        <w:pStyle w:val="5"/>
        <w:spacing w:before="0" w:after="0" w:line="578" w:lineRule="exact"/>
        <w:ind w:firstLine="643" w:firstLineChars="200"/>
        <w:rPr>
          <w:rFonts w:ascii="楷体_GB2312" w:eastAsia="楷体_GB2312"/>
          <w:color w:val="000000"/>
        </w:rPr>
      </w:pPr>
      <w:bookmarkStart w:id="45" w:name="_Toc106289708"/>
      <w:r>
        <w:rPr>
          <w:rFonts w:hint="eastAsia" w:ascii="楷体_GB2312" w:eastAsia="楷体_GB2312"/>
          <w:color w:val="000000"/>
        </w:rPr>
        <w:t>（五）打造产业人才高地</w:t>
      </w:r>
      <w:bookmarkEnd w:id="45"/>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1.建立健全多层次的设计人才队伍体系</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坚持引进和培养并举，适应行业人才需求变化，突出“高精尖缺”导向，不断优化人才队伍结构，逐步形成由产业领军人才、专业人才、复合型人才等构成的工程勘察设计产业人才队伍。积极参与省级设计大师评选工作，涌现出一批国家和省级勘察设计大师，形成良好的人才梯队</w:t>
      </w:r>
      <w:r>
        <w:rPr>
          <w:rFonts w:hint="eastAsia" w:ascii="仿宋_GB2312" w:hAnsi="仿宋_GB2312" w:eastAsia="仿宋_GB2312" w:cs="仿宋_GB2312"/>
          <w:sz w:val="32"/>
          <w:szCs w:val="32"/>
        </w:rPr>
        <w:t>。</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2.完善人才引进培养和激励机制</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和落实人才激励的各项政策，在落户居住、子女就学、职称评定、创业服务等方面给予支持。将工程勘察设计产业高端人才纳入“武汉英才”等专项计划。推动企业建立健全人才激励方式，探索实施技术、管理要素等参与分配的有效路径。支持各类工程勘察设计企业加快创新内部激励机制，大力探索和推行股权型合伙人、平台型合伙人制等机制，为优秀设计人才长期发展创造良好条件。</w:t>
      </w:r>
    </w:p>
    <w:p>
      <w:pPr>
        <w:pStyle w:val="6"/>
        <w:spacing w:before="0" w:after="0" w:line="578" w:lineRule="exact"/>
        <w:ind w:firstLine="643" w:firstLineChars="200"/>
        <w:rPr>
          <w:rFonts w:ascii="仿宋_GB2312" w:eastAsia="仿宋_GB2312"/>
          <w:color w:val="000000"/>
        </w:rPr>
      </w:pPr>
      <w:bookmarkStart w:id="46" w:name="_Hlk69049682"/>
      <w:r>
        <w:rPr>
          <w:rFonts w:hint="eastAsia" w:ascii="仿宋_GB2312" w:eastAsia="仿宋_GB2312"/>
          <w:color w:val="000000"/>
        </w:rPr>
        <w:t>3.推动形成高校、企业多方参与的人才培养机制</w:t>
      </w:r>
    </w:p>
    <w:bookmarkEnd w:id="46"/>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和推动武汉高校、设计企业、社团组织等合作共同培养人才。创新工程勘察设计产业产学研合作和人才培养新机制，促进工程勘察设计企业与相关高校设计专业的紧密合作，不断为工程勘察设计企业提供更多优秀人才。支持校企联合培养，促进人才和科研成果双向流动。鼓励有条件的设计企业建立内部研究院和设立博士后工作站，技术研发与学术研究并行，重点培养创新型人才。</w:t>
      </w:r>
    </w:p>
    <w:p>
      <w:pPr>
        <w:pStyle w:val="5"/>
        <w:spacing w:before="0" w:after="0" w:line="578" w:lineRule="exact"/>
        <w:ind w:firstLine="643" w:firstLineChars="200"/>
        <w:rPr>
          <w:rFonts w:ascii="楷体_GB2312" w:eastAsia="楷体_GB2312"/>
          <w:color w:val="000000"/>
        </w:rPr>
      </w:pPr>
      <w:bookmarkStart w:id="47" w:name="_Toc106289709"/>
      <w:r>
        <w:rPr>
          <w:rFonts w:hint="eastAsia" w:ascii="楷体_GB2312" w:eastAsia="楷体_GB2312"/>
          <w:color w:val="000000"/>
        </w:rPr>
        <w:t>（六）主动融入国内国际“双循环”战略</w:t>
      </w:r>
      <w:bookmarkEnd w:id="47"/>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1.进一步推动武汉设计“走出去”</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政府部门牵头、社团组织、设计企业参与的“走出去”联络工作机制，加强跨部门、跨行业的沟通协作，强化统筹协调、政策支持和综合服务。充分发挥中国武汉工程设计产业联盟海外联盟的平台作用，充分利用各大型设计企业的驻外办事机构的作用，促进设计与建造、材料、设备等企业抱团出海，争取更大的国际市场份额。支持企业积极参加中国国际服务贸易博览会等国家级展会，寻找合作商机。促进武汉设计企业与亚洲基础设施投资银行、金砖国家新开发银行、丝路基金、中国</w:t>
      </w:r>
      <w:r>
        <w:rPr>
          <w:rFonts w:ascii="仿宋_GB2312" w:hAnsi="仿宋_GB2312" w:eastAsia="仿宋_GB2312" w:cs="仿宋_GB2312"/>
          <w:color w:val="000000"/>
          <w:sz w:val="32"/>
          <w:szCs w:val="32"/>
        </w:rPr>
        <w:t>-欧亚经济合作基金</w:t>
      </w:r>
      <w:r>
        <w:rPr>
          <w:rFonts w:hint="eastAsia" w:ascii="仿宋_GB2312" w:hAnsi="仿宋_GB2312" w:eastAsia="仿宋_GB2312" w:cs="仿宋_GB2312"/>
          <w:color w:val="000000"/>
          <w:sz w:val="32"/>
          <w:szCs w:val="32"/>
        </w:rPr>
        <w:t>等金融平台的合作，为设计企业“走出去”提供金融与信息等服务。鼓励相关保险机构加强对设计企业“走出去”的保险服务，通过设计保险机制的完善，提高设计企业参与海外设计业务市场拓展的积极性。</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2.进一步加强与国内城市的合作</w:t>
      </w:r>
    </w:p>
    <w:p>
      <w:pPr>
        <w:spacing w:line="578"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努力做实长江中游省会城市群工程勘察设计高峰论坛，将其打造为长江中游省会城市群工程勘察设计技术交流合作的平台。建立市场准入、质量标准互认的统一的市场体系，为四城企业相互进入对方市场减少障碍。支持武汉大型设计企业以收购兼并及开设分公司的方式，培育区域性公司成长为全国性公司。同时大力吸引工程勘察设计龙头企业来武汉设立第二总部、事业部总部等。</w:t>
      </w:r>
    </w:p>
    <w:p>
      <w:pPr>
        <w:pStyle w:val="5"/>
        <w:spacing w:before="0" w:after="0" w:line="578" w:lineRule="exact"/>
        <w:ind w:firstLine="643" w:firstLineChars="200"/>
        <w:rPr>
          <w:rFonts w:ascii="楷体_GB2312" w:eastAsia="楷体_GB2312"/>
          <w:color w:val="000000"/>
        </w:rPr>
      </w:pPr>
      <w:bookmarkStart w:id="48" w:name="_Toc106289710"/>
      <w:r>
        <w:rPr>
          <w:rFonts w:hint="eastAsia" w:ascii="楷体_GB2312" w:eastAsia="楷体_GB2312"/>
          <w:color w:val="000000"/>
        </w:rPr>
        <w:t>（七）推进产城全面融合发展</w:t>
      </w:r>
      <w:bookmarkEnd w:id="48"/>
    </w:p>
    <w:p>
      <w:pPr>
        <w:pStyle w:val="6"/>
        <w:spacing w:before="0" w:after="0" w:line="578" w:lineRule="exact"/>
        <w:ind w:firstLine="643" w:firstLineChars="200"/>
        <w:rPr>
          <w:rFonts w:ascii="仿宋_GB2312" w:eastAsia="仿宋_GB2312"/>
          <w:color w:val="000000"/>
        </w:rPr>
      </w:pPr>
      <w:bookmarkStart w:id="49" w:name="_Toc100569202"/>
      <w:r>
        <w:rPr>
          <w:rFonts w:hint="eastAsia" w:ascii="仿宋_GB2312" w:eastAsia="仿宋_GB2312"/>
          <w:color w:val="000000"/>
        </w:rPr>
        <w:t>1.积极参与“国家科技创新中心”建设</w:t>
      </w:r>
      <w:bookmarkEnd w:id="49"/>
    </w:p>
    <w:p>
      <w:pPr>
        <w:spacing w:line="578"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支持和鼓励“大院大所”及各行业领军企业加大科技投入，新建一批国家级、省市级工程技术创新中心，全面提升自主创新能力;引导工程勘察设计企业加强技术交流合作，开展科技难题联合攻关；大力实施《武汉市城建科技发展“十四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通过解决一批重要的科技难题，特别是在“双碳”、智慧城市数字化建造技术等前沿科技问题，促进武汉城建科技发展。支持工程勘察设计龙头企业、社团组织，发挥人才与专业优势，成为武汉城市建设的“智库”，为武汉市城市建设项目决策提供咨询。</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2.实现与制造业、服务业融合发展</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推动工程设计产业跨行业、跨领域的交流合作，促进我市工程设计与工业设计、文化创意设计深度融合、共同发展；推动上下游需求对接，促进设计与工业、文化、金融、互联网科技领域跨行业合作，催生新技术、新模式及新运用，实现设计产业高质量发展。积极引导工程设计企业与金融服务企业的合作，借助武汉的金融资源做大工程设计产业规模，同时助力武汉建设“区域金融中心”。</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3.鼓励制定“武汉标准”、推广“武汉经验”</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和引导我市工程勘察设计企业积极参与国家标准、地方标准、团体标准、企业标准的制定，不断提高“武汉标准”的影响力。充分发挥武汉高等院校的技术优势，服务于武汉城市建设，向国内外提供更多的“武汉经验”与“武汉方案”，把武汉打造成国内外知名的工程勘察设计产业标准高地。</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4.支持企业参与城市更新</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和引导工程设计企业参与武汉市城市更新，支持企业开发建设集总部大厦、技术平台、文化展览、会议培训、产业集聚为一体的建筑综合体；支持和鼓励设计企业参与历史风貌街区改造和提升；支持设计企业参与周边的旧城改造，建设设计产业集聚区、旅游目的地和设计消费区。</w:t>
      </w:r>
    </w:p>
    <w:p>
      <w:pPr>
        <w:pStyle w:val="5"/>
        <w:spacing w:before="0" w:after="0" w:line="578" w:lineRule="exact"/>
        <w:ind w:firstLine="643" w:firstLineChars="200"/>
        <w:rPr>
          <w:rFonts w:ascii="楷体_GB2312" w:eastAsia="楷体_GB2312"/>
          <w:color w:val="000000"/>
        </w:rPr>
      </w:pPr>
      <w:bookmarkStart w:id="50" w:name="_Toc106289711"/>
      <w:bookmarkStart w:id="51" w:name="_Hlk67323715"/>
      <w:r>
        <w:rPr>
          <w:rFonts w:hint="eastAsia" w:ascii="楷体_GB2312" w:eastAsia="楷体_GB2312"/>
          <w:color w:val="000000"/>
        </w:rPr>
        <w:t>（八）深入推动“放管服”改革</w:t>
      </w:r>
      <w:bookmarkEnd w:id="50"/>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1.支持设计企业深化改革</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进一步落实中央及省市《国企改革三年行动方案（2020-2022）》等政策精神，</w:t>
      </w:r>
      <w:r>
        <w:rPr>
          <w:rFonts w:hint="eastAsia" w:ascii="仿宋_GB2312" w:hAnsi="仿宋_GB2312" w:eastAsia="仿宋_GB2312" w:cs="仿宋_GB2312"/>
          <w:sz w:val="32"/>
          <w:szCs w:val="32"/>
        </w:rPr>
        <w:t>支持市属国企稳妥推进混合所有制改革、集团化重组等多元化改革重组。鼓励改制后的企业完善法人治理结构，优化管理体制</w:t>
      </w:r>
      <w:r>
        <w:rPr>
          <w:rFonts w:hint="eastAsia" w:ascii="仿宋_GB2312" w:hAnsi="仿宋_GB2312" w:eastAsia="仿宋_GB2312" w:cs="仿宋_GB2312"/>
          <w:color w:val="000000"/>
          <w:sz w:val="32"/>
          <w:szCs w:val="32"/>
        </w:rPr>
        <w:t>和运营模式，强化市场化用人机制和激励机制。积极促进体制改革与行业重组和整合，形成</w:t>
      </w:r>
      <w:r>
        <w:rPr>
          <w:rFonts w:hint="eastAsia" w:ascii="仿宋_GB2312" w:hAnsi="仿宋_GB2312" w:eastAsia="仿宋_GB2312" w:cs="仿宋_GB2312"/>
          <w:sz w:val="32"/>
          <w:szCs w:val="32"/>
        </w:rPr>
        <w:t>跨部门、跨所有制、跨地域的设计集团、工程建设全产业链集团。</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2.进一步创新市场监管模式</w:t>
      </w:r>
    </w:p>
    <w:p>
      <w:pPr>
        <w:spacing w:line="578"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进一步落实国务院关于深化“放管服”改革部署要求，落实住房和城乡建设部关于《建设工程企业资质管理制度改革方案》，减少审批环节，创新监管模式。认真承接资质管理权限下放，规范审批行为，提高资质审批效率，加强企业资质动态监管，强化市场清出机制。完善设计方案招投标制度，研究推出更加公平公正的招标方式。</w:t>
      </w:r>
    </w:p>
    <w:p>
      <w:pPr>
        <w:pStyle w:val="6"/>
        <w:spacing w:before="0" w:after="0" w:line="578" w:lineRule="exact"/>
        <w:ind w:firstLine="643" w:firstLineChars="200"/>
        <w:rPr>
          <w:rFonts w:ascii="仿宋_GB2312" w:eastAsia="仿宋_GB2312"/>
          <w:color w:val="000000"/>
        </w:rPr>
      </w:pPr>
      <w:r>
        <w:rPr>
          <w:rFonts w:hint="eastAsia" w:ascii="仿宋_GB2312" w:eastAsia="仿宋_GB2312"/>
          <w:color w:val="000000"/>
        </w:rPr>
        <w:t>3.继续优化设计质量保障体系</w:t>
      </w:r>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加强工程勘察设计质量管理工作，树立“质量第一”的设计理念，努力提高设计质量管理标准化、科学化、安全化水平。建立企业资质、工程勘察设计、施工图审查质量、施工现场监管“四位一体”的质量监管体系。</w:t>
      </w:r>
      <w:bookmarkEnd w:id="51"/>
    </w:p>
    <w:p>
      <w:pPr>
        <w:pStyle w:val="4"/>
        <w:spacing w:before="0" w:after="0" w:line="578" w:lineRule="exact"/>
        <w:ind w:firstLine="640" w:firstLineChars="200"/>
        <w:rPr>
          <w:rFonts w:ascii="黑体" w:hAnsi="黑体" w:eastAsia="黑体" w:cs="黑体"/>
          <w:b w:val="0"/>
          <w:bCs w:val="0"/>
          <w:color w:val="000000"/>
          <w:sz w:val="32"/>
          <w:szCs w:val="32"/>
        </w:rPr>
      </w:pPr>
      <w:bookmarkStart w:id="52" w:name="_Toc106289712"/>
      <w:r>
        <w:rPr>
          <w:rFonts w:hint="eastAsia" w:ascii="黑体" w:hAnsi="黑体" w:eastAsia="黑体" w:cs="黑体"/>
          <w:b w:val="0"/>
          <w:bCs w:val="0"/>
          <w:color w:val="000000"/>
          <w:sz w:val="32"/>
          <w:szCs w:val="32"/>
        </w:rPr>
        <w:t>五、保障措施</w:t>
      </w:r>
      <w:bookmarkEnd w:id="52"/>
    </w:p>
    <w:p>
      <w:pPr>
        <w:pStyle w:val="5"/>
        <w:spacing w:before="0" w:after="0" w:line="578" w:lineRule="exact"/>
        <w:ind w:firstLine="643" w:firstLineChars="200"/>
        <w:rPr>
          <w:rFonts w:ascii="楷体_GB2312" w:eastAsia="楷体_GB2312"/>
          <w:color w:val="000000"/>
        </w:rPr>
      </w:pPr>
      <w:bookmarkStart w:id="53" w:name="_Toc106289713"/>
      <w:r>
        <w:rPr>
          <w:rFonts w:hint="eastAsia" w:ascii="楷体_GB2312" w:eastAsia="楷体_GB2312"/>
          <w:color w:val="000000"/>
        </w:rPr>
        <w:t>（一）加强规划实施的领导</w:t>
      </w:r>
      <w:bookmarkEnd w:id="53"/>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全面加强党的领导，建立政府主导、部门牵头、多方协作、企业参与的工作机制，对于“十四五”期间的重大任务、重点工程实行责任到人、权责一致。加强对各区的考核和评估，定期公布，面向社会接受监督。</w:t>
      </w:r>
    </w:p>
    <w:p>
      <w:pPr>
        <w:pStyle w:val="5"/>
        <w:spacing w:before="0" w:after="0" w:line="578" w:lineRule="exact"/>
        <w:ind w:firstLine="643" w:firstLineChars="200"/>
        <w:rPr>
          <w:rFonts w:ascii="楷体_GB2312" w:eastAsia="楷体_GB2312"/>
          <w:color w:val="000000"/>
        </w:rPr>
      </w:pPr>
      <w:bookmarkStart w:id="54" w:name="_Toc106289714"/>
      <w:bookmarkStart w:id="55" w:name="_Hlk69032355"/>
      <w:r>
        <w:rPr>
          <w:rFonts w:hint="eastAsia" w:ascii="楷体_GB2312" w:eastAsia="楷体_GB2312"/>
          <w:color w:val="000000"/>
        </w:rPr>
        <w:t>（二）加快出台和落实支持设计产业发展政策</w:t>
      </w:r>
      <w:bookmarkEnd w:id="54"/>
    </w:p>
    <w:bookmarkEnd w:id="55"/>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落实国家和湖北省出台的设计产业发展支持政策，加强本规划与上位“十四五”规划以及相关专项规划的衔接，</w:t>
      </w:r>
      <w:bookmarkStart w:id="56" w:name="_Hlk69032322"/>
      <w:r>
        <w:rPr>
          <w:rFonts w:hint="eastAsia" w:ascii="仿宋_GB2312" w:hAnsi="仿宋_GB2312" w:eastAsia="仿宋_GB2312" w:cs="仿宋_GB2312"/>
          <w:color w:val="000000"/>
          <w:sz w:val="32"/>
          <w:szCs w:val="32"/>
        </w:rPr>
        <w:t>协调落实与工程勘察设计产业有关的要素扶持政策，</w:t>
      </w:r>
      <w:bookmarkEnd w:id="56"/>
      <w:r>
        <w:rPr>
          <w:rFonts w:hint="eastAsia" w:ascii="仿宋_GB2312" w:hAnsi="仿宋_GB2312" w:eastAsia="仿宋_GB2312" w:cs="仿宋_GB2312"/>
          <w:color w:val="000000"/>
          <w:sz w:val="32"/>
          <w:szCs w:val="32"/>
        </w:rPr>
        <w:t>形成强有力的产业扶持政策体系。</w:t>
      </w:r>
      <w:bookmarkStart w:id="57" w:name="_Hlk69050383"/>
      <w:r>
        <w:rPr>
          <w:rFonts w:hint="eastAsia" w:ascii="仿宋_GB2312" w:hAnsi="仿宋_GB2312" w:eastAsia="仿宋_GB2312" w:cs="仿宋_GB2312"/>
          <w:color w:val="000000"/>
          <w:sz w:val="32"/>
          <w:szCs w:val="32"/>
        </w:rPr>
        <w:t>加强相关政策的解读和宣讲，确保政策落实到位。</w:t>
      </w:r>
    </w:p>
    <w:p>
      <w:pPr>
        <w:pStyle w:val="5"/>
        <w:spacing w:before="0" w:after="0" w:line="578" w:lineRule="exact"/>
        <w:ind w:firstLine="643" w:firstLineChars="200"/>
        <w:rPr>
          <w:rFonts w:ascii="楷体_GB2312" w:eastAsia="楷体_GB2312"/>
          <w:color w:val="FF0000"/>
        </w:rPr>
      </w:pPr>
      <w:bookmarkStart w:id="58" w:name="_Toc106289715"/>
      <w:r>
        <w:rPr>
          <w:rFonts w:hint="eastAsia" w:ascii="楷体_GB2312" w:eastAsia="楷体_GB2312"/>
        </w:rPr>
        <w:t>（三）加强对各区的统筹和指导</w:t>
      </w:r>
      <w:bookmarkEnd w:id="58"/>
    </w:p>
    <w:p>
      <w:pPr>
        <w:tabs>
          <w:tab w:val="left" w:pos="284"/>
        </w:tabs>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充分调动各区人民政府发展工程勘察设计产业的积极性，发挥好各区在产业街区与园区建设、</w:t>
      </w:r>
      <w:r>
        <w:rPr>
          <w:rFonts w:hint="eastAsia" w:ascii="仿宋_GB2312" w:hAnsi="仿宋_GB2312" w:eastAsia="仿宋_GB2312" w:cs="仿宋_GB2312"/>
          <w:color w:val="000000"/>
          <w:sz w:val="32"/>
          <w:szCs w:val="32"/>
        </w:rPr>
        <w:t>产业链打造</w:t>
      </w:r>
      <w:r>
        <w:rPr>
          <w:rFonts w:hint="eastAsia" w:ascii="仿宋_GB2312" w:hAnsi="仿宋_GB2312" w:eastAsia="仿宋_GB2312" w:cs="仿宋_GB2312"/>
          <w:sz w:val="32"/>
          <w:szCs w:val="32"/>
        </w:rPr>
        <w:t>、龙头总部企业引进、</w:t>
      </w:r>
      <w:r>
        <w:rPr>
          <w:rFonts w:hint="eastAsia" w:ascii="仿宋_GB2312" w:hAnsi="仿宋_GB2312" w:eastAsia="仿宋_GB2312" w:cs="仿宋_GB2312"/>
          <w:color w:val="000000"/>
          <w:sz w:val="32"/>
          <w:szCs w:val="32"/>
        </w:rPr>
        <w:t>面向企业服务的积极作用，加强对各区发展的宏观协调与指导，引导各区发挥</w:t>
      </w:r>
      <w:r>
        <w:rPr>
          <w:rFonts w:hint="eastAsia" w:ascii="仿宋_GB2312" w:hAnsi="仿宋_GB2312" w:eastAsia="仿宋_GB2312" w:cs="仿宋_GB2312"/>
          <w:color w:val="000000" w:themeColor="text1"/>
          <w:sz w:val="32"/>
          <w:szCs w:val="32"/>
        </w:rPr>
        <w:t>各自</w:t>
      </w:r>
      <w:r>
        <w:rPr>
          <w:rFonts w:hint="eastAsia" w:ascii="仿宋_GB2312" w:hAnsi="仿宋_GB2312" w:eastAsia="仿宋_GB2312" w:cs="仿宋_GB2312"/>
          <w:color w:val="000000"/>
          <w:sz w:val="32"/>
          <w:szCs w:val="32"/>
        </w:rPr>
        <w:t>优势，制定相关措施，共同促进武汉工程勘察设计产业健康发展。</w:t>
      </w:r>
    </w:p>
    <w:bookmarkEnd w:id="57"/>
    <w:p>
      <w:pPr>
        <w:pStyle w:val="5"/>
        <w:spacing w:before="0" w:after="0" w:line="578" w:lineRule="exact"/>
        <w:ind w:firstLine="643" w:firstLineChars="200"/>
        <w:rPr>
          <w:rFonts w:ascii="仿宋_GB2312" w:hAnsi="仿宋_GB2312" w:eastAsia="仿宋_GB2312" w:cs="仿宋_GB2312"/>
        </w:rPr>
      </w:pPr>
      <w:bookmarkStart w:id="59" w:name="_Toc106289716"/>
      <w:r>
        <w:rPr>
          <w:rFonts w:hint="eastAsia" w:ascii="楷体_GB2312" w:hAnsi="楷体_GB2312" w:eastAsia="楷体_GB2312" w:cs="楷体_GB2312"/>
        </w:rPr>
        <w:t>（四）发挥行业社团组织的纽带作用</w:t>
      </w:r>
      <w:bookmarkEnd w:id="59"/>
    </w:p>
    <w:p>
      <w:pPr>
        <w:spacing w:line="578"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w:t>
      </w:r>
      <w:r>
        <w:rPr>
          <w:rFonts w:hint="eastAsia" w:ascii="仿宋_GB2312" w:hAnsi="仿宋_GB2312" w:eastAsia="仿宋_GB2312" w:cs="仿宋_GB2312"/>
          <w:sz w:val="32"/>
          <w:szCs w:val="32"/>
        </w:rPr>
        <w:t>步发挥工程勘察设计行业协会、学会、产业联盟等</w:t>
      </w:r>
      <w:r>
        <w:rPr>
          <w:rFonts w:hint="eastAsia" w:ascii="仿宋_GB2312" w:hAnsi="仿宋_GB2312" w:eastAsia="仿宋_GB2312" w:cs="仿宋_GB2312"/>
          <w:color w:val="000000"/>
          <w:sz w:val="32"/>
          <w:szCs w:val="32"/>
        </w:rPr>
        <w:t>行业社团组织的纽带作用，积极履行服务企业、加强行业自律、维护行业合法权益、推进诚信体系建设的宗旨。加强行业社团组织的自身能力建设，不断提升其公信力和执行力，积极稳妥地承接政府购买服务。引导行业社团组织积极参与工程勘察设计产业政策法规的制定工作，形成政府、企业、社会共同推进武汉工程勘察设计产业发展的良好局面。</w:t>
      </w:r>
    </w:p>
    <w:sectPr>
      <w:headerReference r:id="rId9" w:type="default"/>
      <w:footerReference r:id="rId10"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II</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pPr>
      <w:r>
        <w:rPr>
          <w:rStyle w:val="20"/>
        </w:rPr>
        <w:footnoteRef/>
      </w:r>
      <w:r>
        <w:t xml:space="preserve"> </w:t>
      </w:r>
      <w:r>
        <w:rPr>
          <w:rFonts w:hint="eastAsia"/>
        </w:rPr>
        <w:t>第八批勘察设计大师5人：王小毛、肖明清、李霆、张敏、徐杨青；第九批勘察设计大师6人：李树苑、杨爱明、易伦雄、项明武、桂学文、翁永红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1B07"/>
    <w:multiLevelType w:val="singleLevel"/>
    <w:tmpl w:val="140F1B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JiMmMwMDBjNWI0YTVmMzc1OWIyNmFhYzYzMDg2NzYifQ=="/>
  </w:docVars>
  <w:rsids>
    <w:rsidRoot w:val="000D238F"/>
    <w:rsid w:val="000011DF"/>
    <w:rsid w:val="00002132"/>
    <w:rsid w:val="00004DE9"/>
    <w:rsid w:val="00006A41"/>
    <w:rsid w:val="0000797E"/>
    <w:rsid w:val="0001159B"/>
    <w:rsid w:val="0001394A"/>
    <w:rsid w:val="00015134"/>
    <w:rsid w:val="000156D1"/>
    <w:rsid w:val="000218E4"/>
    <w:rsid w:val="00023EA3"/>
    <w:rsid w:val="000306B2"/>
    <w:rsid w:val="00030CFC"/>
    <w:rsid w:val="00036431"/>
    <w:rsid w:val="00037E7B"/>
    <w:rsid w:val="000430AC"/>
    <w:rsid w:val="00046E2F"/>
    <w:rsid w:val="000505E5"/>
    <w:rsid w:val="000513C0"/>
    <w:rsid w:val="00051CC0"/>
    <w:rsid w:val="00057EA5"/>
    <w:rsid w:val="000614B9"/>
    <w:rsid w:val="00070052"/>
    <w:rsid w:val="00070599"/>
    <w:rsid w:val="00072034"/>
    <w:rsid w:val="000739EC"/>
    <w:rsid w:val="000754F3"/>
    <w:rsid w:val="000755EB"/>
    <w:rsid w:val="000768DC"/>
    <w:rsid w:val="000820F8"/>
    <w:rsid w:val="00086908"/>
    <w:rsid w:val="00087342"/>
    <w:rsid w:val="00087407"/>
    <w:rsid w:val="000900C6"/>
    <w:rsid w:val="00092D45"/>
    <w:rsid w:val="00094056"/>
    <w:rsid w:val="00097415"/>
    <w:rsid w:val="0009748A"/>
    <w:rsid w:val="000A313F"/>
    <w:rsid w:val="000A640D"/>
    <w:rsid w:val="000A6948"/>
    <w:rsid w:val="000A7DAE"/>
    <w:rsid w:val="000B146A"/>
    <w:rsid w:val="000B3437"/>
    <w:rsid w:val="000B36D1"/>
    <w:rsid w:val="000B41F2"/>
    <w:rsid w:val="000C4A24"/>
    <w:rsid w:val="000C70A9"/>
    <w:rsid w:val="000D03DE"/>
    <w:rsid w:val="000D192F"/>
    <w:rsid w:val="000D238F"/>
    <w:rsid w:val="000D4100"/>
    <w:rsid w:val="000E03A8"/>
    <w:rsid w:val="000E31B2"/>
    <w:rsid w:val="000E4177"/>
    <w:rsid w:val="000E467E"/>
    <w:rsid w:val="000E4EC6"/>
    <w:rsid w:val="000E7C82"/>
    <w:rsid w:val="000E7F4A"/>
    <w:rsid w:val="000F02BB"/>
    <w:rsid w:val="000F513F"/>
    <w:rsid w:val="000F5A79"/>
    <w:rsid w:val="000F68FB"/>
    <w:rsid w:val="00100FF2"/>
    <w:rsid w:val="00101C36"/>
    <w:rsid w:val="001029B2"/>
    <w:rsid w:val="0010352D"/>
    <w:rsid w:val="0010499D"/>
    <w:rsid w:val="00111ABB"/>
    <w:rsid w:val="001146A1"/>
    <w:rsid w:val="00115AAD"/>
    <w:rsid w:val="0011686E"/>
    <w:rsid w:val="001238C4"/>
    <w:rsid w:val="00124976"/>
    <w:rsid w:val="001252EA"/>
    <w:rsid w:val="00126100"/>
    <w:rsid w:val="00134696"/>
    <w:rsid w:val="00140F55"/>
    <w:rsid w:val="00141C2F"/>
    <w:rsid w:val="00142F40"/>
    <w:rsid w:val="001477A9"/>
    <w:rsid w:val="001507A5"/>
    <w:rsid w:val="001516A2"/>
    <w:rsid w:val="001519F0"/>
    <w:rsid w:val="00154EB4"/>
    <w:rsid w:val="00156049"/>
    <w:rsid w:val="00160A27"/>
    <w:rsid w:val="00162301"/>
    <w:rsid w:val="00164047"/>
    <w:rsid w:val="00166F4B"/>
    <w:rsid w:val="0016710A"/>
    <w:rsid w:val="00180C43"/>
    <w:rsid w:val="00197169"/>
    <w:rsid w:val="001974EE"/>
    <w:rsid w:val="001A0366"/>
    <w:rsid w:val="001A2E0F"/>
    <w:rsid w:val="001A3169"/>
    <w:rsid w:val="001A4902"/>
    <w:rsid w:val="001A57A2"/>
    <w:rsid w:val="001A7FC2"/>
    <w:rsid w:val="001B163F"/>
    <w:rsid w:val="001B2D83"/>
    <w:rsid w:val="001B3188"/>
    <w:rsid w:val="001B353B"/>
    <w:rsid w:val="001B44F7"/>
    <w:rsid w:val="001B4910"/>
    <w:rsid w:val="001B4972"/>
    <w:rsid w:val="001B4B3A"/>
    <w:rsid w:val="001B54CD"/>
    <w:rsid w:val="001B7CF1"/>
    <w:rsid w:val="001C34DD"/>
    <w:rsid w:val="001C4981"/>
    <w:rsid w:val="001C5AFB"/>
    <w:rsid w:val="001C70B8"/>
    <w:rsid w:val="001D1913"/>
    <w:rsid w:val="001D64FF"/>
    <w:rsid w:val="001D650A"/>
    <w:rsid w:val="001D77F7"/>
    <w:rsid w:val="001E113B"/>
    <w:rsid w:val="001E29AF"/>
    <w:rsid w:val="001E3F43"/>
    <w:rsid w:val="001F2020"/>
    <w:rsid w:val="001F2DF9"/>
    <w:rsid w:val="001F3FB7"/>
    <w:rsid w:val="001F7231"/>
    <w:rsid w:val="00203B68"/>
    <w:rsid w:val="00204D53"/>
    <w:rsid w:val="00207A25"/>
    <w:rsid w:val="0021094D"/>
    <w:rsid w:val="00211608"/>
    <w:rsid w:val="0021208A"/>
    <w:rsid w:val="00214080"/>
    <w:rsid w:val="00214AAF"/>
    <w:rsid w:val="00214D21"/>
    <w:rsid w:val="00215A8C"/>
    <w:rsid w:val="0021698F"/>
    <w:rsid w:val="00223006"/>
    <w:rsid w:val="00226D5E"/>
    <w:rsid w:val="00227425"/>
    <w:rsid w:val="00227750"/>
    <w:rsid w:val="002312C4"/>
    <w:rsid w:val="00234EC7"/>
    <w:rsid w:val="002371B1"/>
    <w:rsid w:val="002405BD"/>
    <w:rsid w:val="0024167F"/>
    <w:rsid w:val="00241AD4"/>
    <w:rsid w:val="00241BE4"/>
    <w:rsid w:val="002439CE"/>
    <w:rsid w:val="00244316"/>
    <w:rsid w:val="002467A0"/>
    <w:rsid w:val="00247930"/>
    <w:rsid w:val="002502FC"/>
    <w:rsid w:val="002532A7"/>
    <w:rsid w:val="00256425"/>
    <w:rsid w:val="0025715A"/>
    <w:rsid w:val="0026057B"/>
    <w:rsid w:val="002634BF"/>
    <w:rsid w:val="00264264"/>
    <w:rsid w:val="00264F63"/>
    <w:rsid w:val="00270730"/>
    <w:rsid w:val="00270954"/>
    <w:rsid w:val="00271D98"/>
    <w:rsid w:val="002732A0"/>
    <w:rsid w:val="00277BE0"/>
    <w:rsid w:val="00280E15"/>
    <w:rsid w:val="00280EFF"/>
    <w:rsid w:val="00281A1B"/>
    <w:rsid w:val="00281B2F"/>
    <w:rsid w:val="0028299A"/>
    <w:rsid w:val="002834E2"/>
    <w:rsid w:val="0028364A"/>
    <w:rsid w:val="00285DFD"/>
    <w:rsid w:val="00286285"/>
    <w:rsid w:val="002864F9"/>
    <w:rsid w:val="00290811"/>
    <w:rsid w:val="0029227E"/>
    <w:rsid w:val="00293ADD"/>
    <w:rsid w:val="0029638B"/>
    <w:rsid w:val="002978DC"/>
    <w:rsid w:val="00297D79"/>
    <w:rsid w:val="002A1125"/>
    <w:rsid w:val="002A210B"/>
    <w:rsid w:val="002A4F87"/>
    <w:rsid w:val="002A65E5"/>
    <w:rsid w:val="002B0514"/>
    <w:rsid w:val="002B15AC"/>
    <w:rsid w:val="002B27D0"/>
    <w:rsid w:val="002B308A"/>
    <w:rsid w:val="002C6BA5"/>
    <w:rsid w:val="002C6CC5"/>
    <w:rsid w:val="002D0616"/>
    <w:rsid w:val="002D3203"/>
    <w:rsid w:val="002D390E"/>
    <w:rsid w:val="002D4CEE"/>
    <w:rsid w:val="002E04CE"/>
    <w:rsid w:val="002E305A"/>
    <w:rsid w:val="002E3E27"/>
    <w:rsid w:val="002E4BA8"/>
    <w:rsid w:val="002F04A1"/>
    <w:rsid w:val="002F0674"/>
    <w:rsid w:val="002F0FE0"/>
    <w:rsid w:val="002F12C4"/>
    <w:rsid w:val="002F1430"/>
    <w:rsid w:val="002F51B7"/>
    <w:rsid w:val="00303E61"/>
    <w:rsid w:val="0031327F"/>
    <w:rsid w:val="0031389E"/>
    <w:rsid w:val="0031472E"/>
    <w:rsid w:val="003152CF"/>
    <w:rsid w:val="00315508"/>
    <w:rsid w:val="00320693"/>
    <w:rsid w:val="003243B1"/>
    <w:rsid w:val="00324C02"/>
    <w:rsid w:val="00325CC5"/>
    <w:rsid w:val="003309D9"/>
    <w:rsid w:val="00330C83"/>
    <w:rsid w:val="00331CD3"/>
    <w:rsid w:val="00333FB5"/>
    <w:rsid w:val="00335A7C"/>
    <w:rsid w:val="00342F8E"/>
    <w:rsid w:val="00345C8B"/>
    <w:rsid w:val="00350894"/>
    <w:rsid w:val="003514B7"/>
    <w:rsid w:val="00352B1F"/>
    <w:rsid w:val="00354340"/>
    <w:rsid w:val="0035439E"/>
    <w:rsid w:val="003553AE"/>
    <w:rsid w:val="00357703"/>
    <w:rsid w:val="003608E0"/>
    <w:rsid w:val="003609B2"/>
    <w:rsid w:val="00361346"/>
    <w:rsid w:val="003613C4"/>
    <w:rsid w:val="0036416A"/>
    <w:rsid w:val="00366247"/>
    <w:rsid w:val="00367030"/>
    <w:rsid w:val="00367474"/>
    <w:rsid w:val="00367C0B"/>
    <w:rsid w:val="00370AE9"/>
    <w:rsid w:val="00372006"/>
    <w:rsid w:val="003720A0"/>
    <w:rsid w:val="00374869"/>
    <w:rsid w:val="00375484"/>
    <w:rsid w:val="00382227"/>
    <w:rsid w:val="0038665D"/>
    <w:rsid w:val="0038687A"/>
    <w:rsid w:val="00391811"/>
    <w:rsid w:val="00393B20"/>
    <w:rsid w:val="00394727"/>
    <w:rsid w:val="00396BAC"/>
    <w:rsid w:val="00397192"/>
    <w:rsid w:val="003A005D"/>
    <w:rsid w:val="003A07CC"/>
    <w:rsid w:val="003A09FF"/>
    <w:rsid w:val="003A15B0"/>
    <w:rsid w:val="003A2460"/>
    <w:rsid w:val="003A2E48"/>
    <w:rsid w:val="003A3FE1"/>
    <w:rsid w:val="003A5102"/>
    <w:rsid w:val="003A514B"/>
    <w:rsid w:val="003B1FB1"/>
    <w:rsid w:val="003B3249"/>
    <w:rsid w:val="003B6BF5"/>
    <w:rsid w:val="003C2350"/>
    <w:rsid w:val="003C2C65"/>
    <w:rsid w:val="003C48C8"/>
    <w:rsid w:val="003D3D6E"/>
    <w:rsid w:val="003D7690"/>
    <w:rsid w:val="003E5051"/>
    <w:rsid w:val="003E5EB9"/>
    <w:rsid w:val="003E5F28"/>
    <w:rsid w:val="003F0213"/>
    <w:rsid w:val="003F09B3"/>
    <w:rsid w:val="003F139B"/>
    <w:rsid w:val="003F18E3"/>
    <w:rsid w:val="003F1EA4"/>
    <w:rsid w:val="003F2AFC"/>
    <w:rsid w:val="003F2EF1"/>
    <w:rsid w:val="003F4328"/>
    <w:rsid w:val="003F49A9"/>
    <w:rsid w:val="003F58A7"/>
    <w:rsid w:val="003F765E"/>
    <w:rsid w:val="003F793F"/>
    <w:rsid w:val="00402C3D"/>
    <w:rsid w:val="00402EA9"/>
    <w:rsid w:val="004076EF"/>
    <w:rsid w:val="00412A97"/>
    <w:rsid w:val="00414134"/>
    <w:rsid w:val="0041459A"/>
    <w:rsid w:val="0041546B"/>
    <w:rsid w:val="00415DDF"/>
    <w:rsid w:val="00420104"/>
    <w:rsid w:val="00422469"/>
    <w:rsid w:val="0042537D"/>
    <w:rsid w:val="0043272C"/>
    <w:rsid w:val="00436833"/>
    <w:rsid w:val="00436C82"/>
    <w:rsid w:val="00437188"/>
    <w:rsid w:val="00441DBE"/>
    <w:rsid w:val="00444782"/>
    <w:rsid w:val="00445C4F"/>
    <w:rsid w:val="00446EFC"/>
    <w:rsid w:val="004506F1"/>
    <w:rsid w:val="004507BC"/>
    <w:rsid w:val="004508E9"/>
    <w:rsid w:val="00461E57"/>
    <w:rsid w:val="004635B3"/>
    <w:rsid w:val="00465751"/>
    <w:rsid w:val="004657E4"/>
    <w:rsid w:val="004670DA"/>
    <w:rsid w:val="0047241A"/>
    <w:rsid w:val="004844C5"/>
    <w:rsid w:val="004858B8"/>
    <w:rsid w:val="0049076D"/>
    <w:rsid w:val="004912DC"/>
    <w:rsid w:val="00491E98"/>
    <w:rsid w:val="00492662"/>
    <w:rsid w:val="00493A54"/>
    <w:rsid w:val="004940B0"/>
    <w:rsid w:val="00495655"/>
    <w:rsid w:val="00496C6C"/>
    <w:rsid w:val="004A5734"/>
    <w:rsid w:val="004B0332"/>
    <w:rsid w:val="004B0D61"/>
    <w:rsid w:val="004C0D39"/>
    <w:rsid w:val="004C1A06"/>
    <w:rsid w:val="004C253B"/>
    <w:rsid w:val="004C405E"/>
    <w:rsid w:val="004C6A95"/>
    <w:rsid w:val="004D08BB"/>
    <w:rsid w:val="004D0C98"/>
    <w:rsid w:val="004D2D10"/>
    <w:rsid w:val="004D6C0A"/>
    <w:rsid w:val="004D74AC"/>
    <w:rsid w:val="004D790F"/>
    <w:rsid w:val="004E1710"/>
    <w:rsid w:val="004E214B"/>
    <w:rsid w:val="004E30F6"/>
    <w:rsid w:val="004E466B"/>
    <w:rsid w:val="004E4EE7"/>
    <w:rsid w:val="004E550C"/>
    <w:rsid w:val="004E61D9"/>
    <w:rsid w:val="004E646C"/>
    <w:rsid w:val="004E7B5F"/>
    <w:rsid w:val="004F08EC"/>
    <w:rsid w:val="004F3147"/>
    <w:rsid w:val="004F33C1"/>
    <w:rsid w:val="004F46E4"/>
    <w:rsid w:val="004F7710"/>
    <w:rsid w:val="00502E2C"/>
    <w:rsid w:val="00510E15"/>
    <w:rsid w:val="005121AD"/>
    <w:rsid w:val="00512B03"/>
    <w:rsid w:val="0051688C"/>
    <w:rsid w:val="00520703"/>
    <w:rsid w:val="00522012"/>
    <w:rsid w:val="005239C9"/>
    <w:rsid w:val="00523C9F"/>
    <w:rsid w:val="00527476"/>
    <w:rsid w:val="005319DF"/>
    <w:rsid w:val="00532D13"/>
    <w:rsid w:val="005351A5"/>
    <w:rsid w:val="0053665D"/>
    <w:rsid w:val="0054231E"/>
    <w:rsid w:val="0054404D"/>
    <w:rsid w:val="005451B1"/>
    <w:rsid w:val="0054547C"/>
    <w:rsid w:val="0054618D"/>
    <w:rsid w:val="00550ED0"/>
    <w:rsid w:val="00551143"/>
    <w:rsid w:val="00555FFF"/>
    <w:rsid w:val="00564F6B"/>
    <w:rsid w:val="005664F7"/>
    <w:rsid w:val="005677BD"/>
    <w:rsid w:val="00572D5D"/>
    <w:rsid w:val="0057486D"/>
    <w:rsid w:val="00574F9A"/>
    <w:rsid w:val="005751CA"/>
    <w:rsid w:val="00581556"/>
    <w:rsid w:val="0058252A"/>
    <w:rsid w:val="00582EA5"/>
    <w:rsid w:val="005839AE"/>
    <w:rsid w:val="00586BB4"/>
    <w:rsid w:val="00587B03"/>
    <w:rsid w:val="00592B2B"/>
    <w:rsid w:val="005950F8"/>
    <w:rsid w:val="005A0ABA"/>
    <w:rsid w:val="005A1D38"/>
    <w:rsid w:val="005A2EFB"/>
    <w:rsid w:val="005A4CF2"/>
    <w:rsid w:val="005A4EA5"/>
    <w:rsid w:val="005A5DF2"/>
    <w:rsid w:val="005A5FB0"/>
    <w:rsid w:val="005A67D7"/>
    <w:rsid w:val="005B33E9"/>
    <w:rsid w:val="005B5FBD"/>
    <w:rsid w:val="005B7164"/>
    <w:rsid w:val="005C0218"/>
    <w:rsid w:val="005C4903"/>
    <w:rsid w:val="005C56BD"/>
    <w:rsid w:val="005C68B5"/>
    <w:rsid w:val="005C701A"/>
    <w:rsid w:val="005D3FDB"/>
    <w:rsid w:val="005D6BE0"/>
    <w:rsid w:val="005E0629"/>
    <w:rsid w:val="005E0F42"/>
    <w:rsid w:val="005E177A"/>
    <w:rsid w:val="005E27D3"/>
    <w:rsid w:val="005E2830"/>
    <w:rsid w:val="005E40EA"/>
    <w:rsid w:val="005E6A7C"/>
    <w:rsid w:val="005F2A75"/>
    <w:rsid w:val="005F37AB"/>
    <w:rsid w:val="005F586C"/>
    <w:rsid w:val="005F5920"/>
    <w:rsid w:val="00603311"/>
    <w:rsid w:val="00613DAE"/>
    <w:rsid w:val="00616EDD"/>
    <w:rsid w:val="006210C9"/>
    <w:rsid w:val="00622741"/>
    <w:rsid w:val="00623FF7"/>
    <w:rsid w:val="006369E5"/>
    <w:rsid w:val="00637274"/>
    <w:rsid w:val="00641AE8"/>
    <w:rsid w:val="00641BF5"/>
    <w:rsid w:val="00642A31"/>
    <w:rsid w:val="00642FF2"/>
    <w:rsid w:val="00643E4F"/>
    <w:rsid w:val="00647296"/>
    <w:rsid w:val="006504C3"/>
    <w:rsid w:val="00650A2C"/>
    <w:rsid w:val="00654D60"/>
    <w:rsid w:val="00655F9E"/>
    <w:rsid w:val="00662B43"/>
    <w:rsid w:val="00663088"/>
    <w:rsid w:val="006634C9"/>
    <w:rsid w:val="00663AAC"/>
    <w:rsid w:val="00666999"/>
    <w:rsid w:val="0066703A"/>
    <w:rsid w:val="00670530"/>
    <w:rsid w:val="00671AAD"/>
    <w:rsid w:val="00672D2B"/>
    <w:rsid w:val="0067323A"/>
    <w:rsid w:val="00675D49"/>
    <w:rsid w:val="0068227C"/>
    <w:rsid w:val="00683510"/>
    <w:rsid w:val="006851C1"/>
    <w:rsid w:val="00686085"/>
    <w:rsid w:val="006920D7"/>
    <w:rsid w:val="00694228"/>
    <w:rsid w:val="006951B7"/>
    <w:rsid w:val="006A113F"/>
    <w:rsid w:val="006A5E79"/>
    <w:rsid w:val="006A73B4"/>
    <w:rsid w:val="006B05C3"/>
    <w:rsid w:val="006B0DD5"/>
    <w:rsid w:val="006B12B8"/>
    <w:rsid w:val="006B26DA"/>
    <w:rsid w:val="006B3CDC"/>
    <w:rsid w:val="006B5246"/>
    <w:rsid w:val="006B5E3E"/>
    <w:rsid w:val="006B6EA0"/>
    <w:rsid w:val="006C1E1A"/>
    <w:rsid w:val="006C52BD"/>
    <w:rsid w:val="006D2BAE"/>
    <w:rsid w:val="006D300C"/>
    <w:rsid w:val="006D42EC"/>
    <w:rsid w:val="006D52E9"/>
    <w:rsid w:val="006E0AB7"/>
    <w:rsid w:val="006E1138"/>
    <w:rsid w:val="006E17DD"/>
    <w:rsid w:val="006E1E6E"/>
    <w:rsid w:val="006E2110"/>
    <w:rsid w:val="006E24B1"/>
    <w:rsid w:val="006F1215"/>
    <w:rsid w:val="006F3932"/>
    <w:rsid w:val="006F4219"/>
    <w:rsid w:val="006F483C"/>
    <w:rsid w:val="006F4984"/>
    <w:rsid w:val="006F4F26"/>
    <w:rsid w:val="00700904"/>
    <w:rsid w:val="00701B54"/>
    <w:rsid w:val="00702287"/>
    <w:rsid w:val="00703049"/>
    <w:rsid w:val="00706F90"/>
    <w:rsid w:val="007076B0"/>
    <w:rsid w:val="00711D8A"/>
    <w:rsid w:val="0071217B"/>
    <w:rsid w:val="00713611"/>
    <w:rsid w:val="00713827"/>
    <w:rsid w:val="00714951"/>
    <w:rsid w:val="0071543B"/>
    <w:rsid w:val="00717B6A"/>
    <w:rsid w:val="00724ACD"/>
    <w:rsid w:val="0072580E"/>
    <w:rsid w:val="00730680"/>
    <w:rsid w:val="007313FE"/>
    <w:rsid w:val="00732275"/>
    <w:rsid w:val="00734EEB"/>
    <w:rsid w:val="0074370C"/>
    <w:rsid w:val="00744463"/>
    <w:rsid w:val="00744E22"/>
    <w:rsid w:val="00745EE7"/>
    <w:rsid w:val="007478E4"/>
    <w:rsid w:val="00751B15"/>
    <w:rsid w:val="00753138"/>
    <w:rsid w:val="00757CC0"/>
    <w:rsid w:val="007620C9"/>
    <w:rsid w:val="007634C0"/>
    <w:rsid w:val="0076438F"/>
    <w:rsid w:val="00764813"/>
    <w:rsid w:val="00772E17"/>
    <w:rsid w:val="00774116"/>
    <w:rsid w:val="007748A3"/>
    <w:rsid w:val="007768D6"/>
    <w:rsid w:val="00776FEE"/>
    <w:rsid w:val="00777B55"/>
    <w:rsid w:val="00780466"/>
    <w:rsid w:val="00785F2B"/>
    <w:rsid w:val="00787B33"/>
    <w:rsid w:val="00793858"/>
    <w:rsid w:val="007A1C49"/>
    <w:rsid w:val="007A250F"/>
    <w:rsid w:val="007A54FB"/>
    <w:rsid w:val="007A7DB8"/>
    <w:rsid w:val="007B22E0"/>
    <w:rsid w:val="007B2461"/>
    <w:rsid w:val="007B24D4"/>
    <w:rsid w:val="007B2EB8"/>
    <w:rsid w:val="007B70F1"/>
    <w:rsid w:val="007C1BD3"/>
    <w:rsid w:val="007C1C91"/>
    <w:rsid w:val="007C28B8"/>
    <w:rsid w:val="007C3842"/>
    <w:rsid w:val="007D00DF"/>
    <w:rsid w:val="007D3232"/>
    <w:rsid w:val="007D3DDA"/>
    <w:rsid w:val="007E2362"/>
    <w:rsid w:val="007E4618"/>
    <w:rsid w:val="007E67A8"/>
    <w:rsid w:val="007E6B95"/>
    <w:rsid w:val="007E7B30"/>
    <w:rsid w:val="007F0A8C"/>
    <w:rsid w:val="007F0F3F"/>
    <w:rsid w:val="007F3436"/>
    <w:rsid w:val="007F3A30"/>
    <w:rsid w:val="007F42A7"/>
    <w:rsid w:val="007F610B"/>
    <w:rsid w:val="007F68B1"/>
    <w:rsid w:val="0080182A"/>
    <w:rsid w:val="00806E79"/>
    <w:rsid w:val="00812B08"/>
    <w:rsid w:val="00816560"/>
    <w:rsid w:val="008226A9"/>
    <w:rsid w:val="008230B2"/>
    <w:rsid w:val="00826762"/>
    <w:rsid w:val="00827971"/>
    <w:rsid w:val="008323E3"/>
    <w:rsid w:val="008325AC"/>
    <w:rsid w:val="00834016"/>
    <w:rsid w:val="00837A2C"/>
    <w:rsid w:val="00837BE7"/>
    <w:rsid w:val="0084236E"/>
    <w:rsid w:val="00842CCA"/>
    <w:rsid w:val="00843312"/>
    <w:rsid w:val="0084403E"/>
    <w:rsid w:val="00846C18"/>
    <w:rsid w:val="00850155"/>
    <w:rsid w:val="0085143C"/>
    <w:rsid w:val="00851FD2"/>
    <w:rsid w:val="008526E5"/>
    <w:rsid w:val="00852751"/>
    <w:rsid w:val="00855F64"/>
    <w:rsid w:val="00860C83"/>
    <w:rsid w:val="00867276"/>
    <w:rsid w:val="008710B2"/>
    <w:rsid w:val="00877EDD"/>
    <w:rsid w:val="008918B5"/>
    <w:rsid w:val="0089385A"/>
    <w:rsid w:val="008943BF"/>
    <w:rsid w:val="00896F15"/>
    <w:rsid w:val="008A07EE"/>
    <w:rsid w:val="008A160F"/>
    <w:rsid w:val="008A36E2"/>
    <w:rsid w:val="008A73B3"/>
    <w:rsid w:val="008B1FCC"/>
    <w:rsid w:val="008B2F9A"/>
    <w:rsid w:val="008B45D0"/>
    <w:rsid w:val="008B4AB0"/>
    <w:rsid w:val="008B5608"/>
    <w:rsid w:val="008B7971"/>
    <w:rsid w:val="008C0E1C"/>
    <w:rsid w:val="008C1DCF"/>
    <w:rsid w:val="008C2747"/>
    <w:rsid w:val="008C2D81"/>
    <w:rsid w:val="008C2F3C"/>
    <w:rsid w:val="008C31A4"/>
    <w:rsid w:val="008D043A"/>
    <w:rsid w:val="008D05C5"/>
    <w:rsid w:val="008D1158"/>
    <w:rsid w:val="008D37FA"/>
    <w:rsid w:val="008D4B67"/>
    <w:rsid w:val="008D7369"/>
    <w:rsid w:val="008D79F8"/>
    <w:rsid w:val="008E3E1B"/>
    <w:rsid w:val="008E4D45"/>
    <w:rsid w:val="008E740F"/>
    <w:rsid w:val="008E7E1C"/>
    <w:rsid w:val="008E7E3C"/>
    <w:rsid w:val="008F4B4A"/>
    <w:rsid w:val="00901E5D"/>
    <w:rsid w:val="00907283"/>
    <w:rsid w:val="00910F07"/>
    <w:rsid w:val="00915DBF"/>
    <w:rsid w:val="00923689"/>
    <w:rsid w:val="00924598"/>
    <w:rsid w:val="00925690"/>
    <w:rsid w:val="0093014E"/>
    <w:rsid w:val="009306E4"/>
    <w:rsid w:val="0093615C"/>
    <w:rsid w:val="00940423"/>
    <w:rsid w:val="00941B9E"/>
    <w:rsid w:val="00945FBB"/>
    <w:rsid w:val="0094712B"/>
    <w:rsid w:val="009501B9"/>
    <w:rsid w:val="009536FF"/>
    <w:rsid w:val="00955897"/>
    <w:rsid w:val="009571C8"/>
    <w:rsid w:val="00961C8E"/>
    <w:rsid w:val="00963A60"/>
    <w:rsid w:val="00963FCB"/>
    <w:rsid w:val="009646F6"/>
    <w:rsid w:val="009658ED"/>
    <w:rsid w:val="00966834"/>
    <w:rsid w:val="0097072A"/>
    <w:rsid w:val="0097073E"/>
    <w:rsid w:val="0097198A"/>
    <w:rsid w:val="00972C6A"/>
    <w:rsid w:val="00975C5B"/>
    <w:rsid w:val="00975F27"/>
    <w:rsid w:val="009772FD"/>
    <w:rsid w:val="00980F34"/>
    <w:rsid w:val="00984045"/>
    <w:rsid w:val="00990453"/>
    <w:rsid w:val="009935B1"/>
    <w:rsid w:val="00993C00"/>
    <w:rsid w:val="00993CAD"/>
    <w:rsid w:val="0099553B"/>
    <w:rsid w:val="00996E73"/>
    <w:rsid w:val="009A012D"/>
    <w:rsid w:val="009A0AC3"/>
    <w:rsid w:val="009A57C7"/>
    <w:rsid w:val="009A581A"/>
    <w:rsid w:val="009B0E09"/>
    <w:rsid w:val="009B5276"/>
    <w:rsid w:val="009C1CEA"/>
    <w:rsid w:val="009C3942"/>
    <w:rsid w:val="009D5A8B"/>
    <w:rsid w:val="009D73B0"/>
    <w:rsid w:val="009D7CE4"/>
    <w:rsid w:val="009E370D"/>
    <w:rsid w:val="009E399B"/>
    <w:rsid w:val="009E6505"/>
    <w:rsid w:val="009E79C1"/>
    <w:rsid w:val="009F44C0"/>
    <w:rsid w:val="009F50CF"/>
    <w:rsid w:val="009F7D18"/>
    <w:rsid w:val="00A012F3"/>
    <w:rsid w:val="00A04D88"/>
    <w:rsid w:val="00A10ADB"/>
    <w:rsid w:val="00A1145E"/>
    <w:rsid w:val="00A1240A"/>
    <w:rsid w:val="00A15477"/>
    <w:rsid w:val="00A16AE0"/>
    <w:rsid w:val="00A20227"/>
    <w:rsid w:val="00A279B9"/>
    <w:rsid w:val="00A279C1"/>
    <w:rsid w:val="00A345AC"/>
    <w:rsid w:val="00A3721B"/>
    <w:rsid w:val="00A401C1"/>
    <w:rsid w:val="00A409BA"/>
    <w:rsid w:val="00A41140"/>
    <w:rsid w:val="00A420EC"/>
    <w:rsid w:val="00A520A2"/>
    <w:rsid w:val="00A52D2E"/>
    <w:rsid w:val="00A5521A"/>
    <w:rsid w:val="00A56E10"/>
    <w:rsid w:val="00A57C12"/>
    <w:rsid w:val="00A61B6B"/>
    <w:rsid w:val="00A62769"/>
    <w:rsid w:val="00A6355F"/>
    <w:rsid w:val="00A63F3F"/>
    <w:rsid w:val="00A67BE4"/>
    <w:rsid w:val="00A760EB"/>
    <w:rsid w:val="00A77996"/>
    <w:rsid w:val="00A8010D"/>
    <w:rsid w:val="00A80F85"/>
    <w:rsid w:val="00A82B3E"/>
    <w:rsid w:val="00A82D97"/>
    <w:rsid w:val="00A83FF6"/>
    <w:rsid w:val="00A8565B"/>
    <w:rsid w:val="00A87957"/>
    <w:rsid w:val="00A87A9C"/>
    <w:rsid w:val="00A87E74"/>
    <w:rsid w:val="00A90083"/>
    <w:rsid w:val="00A91DEA"/>
    <w:rsid w:val="00A97BE0"/>
    <w:rsid w:val="00AA0A95"/>
    <w:rsid w:val="00AA4EF7"/>
    <w:rsid w:val="00AA4FA5"/>
    <w:rsid w:val="00AA510F"/>
    <w:rsid w:val="00AA5270"/>
    <w:rsid w:val="00AA5BAA"/>
    <w:rsid w:val="00AA5EAC"/>
    <w:rsid w:val="00AA75C6"/>
    <w:rsid w:val="00AB0BB9"/>
    <w:rsid w:val="00AB12B0"/>
    <w:rsid w:val="00AB41ED"/>
    <w:rsid w:val="00AB4F1F"/>
    <w:rsid w:val="00AB7EA7"/>
    <w:rsid w:val="00AC1F81"/>
    <w:rsid w:val="00AC5004"/>
    <w:rsid w:val="00AC5C22"/>
    <w:rsid w:val="00AC5E53"/>
    <w:rsid w:val="00AC7CED"/>
    <w:rsid w:val="00AD2C1F"/>
    <w:rsid w:val="00AD3773"/>
    <w:rsid w:val="00AD6BB9"/>
    <w:rsid w:val="00AE011B"/>
    <w:rsid w:val="00AE4237"/>
    <w:rsid w:val="00AE49AD"/>
    <w:rsid w:val="00AE4D0A"/>
    <w:rsid w:val="00AE6AD7"/>
    <w:rsid w:val="00AF0272"/>
    <w:rsid w:val="00AF03D5"/>
    <w:rsid w:val="00AF08C0"/>
    <w:rsid w:val="00AF42A8"/>
    <w:rsid w:val="00AF7D54"/>
    <w:rsid w:val="00B03903"/>
    <w:rsid w:val="00B1370C"/>
    <w:rsid w:val="00B14A90"/>
    <w:rsid w:val="00B15303"/>
    <w:rsid w:val="00B17C32"/>
    <w:rsid w:val="00B17DFD"/>
    <w:rsid w:val="00B2182C"/>
    <w:rsid w:val="00B22325"/>
    <w:rsid w:val="00B24106"/>
    <w:rsid w:val="00B33F0F"/>
    <w:rsid w:val="00B349B9"/>
    <w:rsid w:val="00B448BE"/>
    <w:rsid w:val="00B50906"/>
    <w:rsid w:val="00B514B5"/>
    <w:rsid w:val="00B51E75"/>
    <w:rsid w:val="00B52075"/>
    <w:rsid w:val="00B53B15"/>
    <w:rsid w:val="00B55B49"/>
    <w:rsid w:val="00B55CC9"/>
    <w:rsid w:val="00B63483"/>
    <w:rsid w:val="00B64E23"/>
    <w:rsid w:val="00B72735"/>
    <w:rsid w:val="00B8219F"/>
    <w:rsid w:val="00B837B0"/>
    <w:rsid w:val="00B83B13"/>
    <w:rsid w:val="00B84D7D"/>
    <w:rsid w:val="00B854B9"/>
    <w:rsid w:val="00B86434"/>
    <w:rsid w:val="00B9090A"/>
    <w:rsid w:val="00B90D26"/>
    <w:rsid w:val="00B9453E"/>
    <w:rsid w:val="00BA3E4F"/>
    <w:rsid w:val="00BA5D12"/>
    <w:rsid w:val="00BB0DC8"/>
    <w:rsid w:val="00BC5F75"/>
    <w:rsid w:val="00BD1015"/>
    <w:rsid w:val="00BD150C"/>
    <w:rsid w:val="00BD15F6"/>
    <w:rsid w:val="00BE428D"/>
    <w:rsid w:val="00BE4471"/>
    <w:rsid w:val="00BE7FF9"/>
    <w:rsid w:val="00BF29AE"/>
    <w:rsid w:val="00C003AF"/>
    <w:rsid w:val="00C0281C"/>
    <w:rsid w:val="00C029AA"/>
    <w:rsid w:val="00C03485"/>
    <w:rsid w:val="00C04EDF"/>
    <w:rsid w:val="00C104E4"/>
    <w:rsid w:val="00C121E0"/>
    <w:rsid w:val="00C12D41"/>
    <w:rsid w:val="00C14524"/>
    <w:rsid w:val="00C16054"/>
    <w:rsid w:val="00C21F8A"/>
    <w:rsid w:val="00C24DDC"/>
    <w:rsid w:val="00C26341"/>
    <w:rsid w:val="00C26607"/>
    <w:rsid w:val="00C350D5"/>
    <w:rsid w:val="00C46900"/>
    <w:rsid w:val="00C478E2"/>
    <w:rsid w:val="00C54636"/>
    <w:rsid w:val="00C63069"/>
    <w:rsid w:val="00C65ACF"/>
    <w:rsid w:val="00C668C6"/>
    <w:rsid w:val="00C67C56"/>
    <w:rsid w:val="00C71AF9"/>
    <w:rsid w:val="00C73184"/>
    <w:rsid w:val="00C749A8"/>
    <w:rsid w:val="00C76E7E"/>
    <w:rsid w:val="00C84B5A"/>
    <w:rsid w:val="00C87B7F"/>
    <w:rsid w:val="00C92460"/>
    <w:rsid w:val="00C938B2"/>
    <w:rsid w:val="00C94E5A"/>
    <w:rsid w:val="00C95369"/>
    <w:rsid w:val="00CA6406"/>
    <w:rsid w:val="00CB0C77"/>
    <w:rsid w:val="00CB0FA1"/>
    <w:rsid w:val="00CB25D8"/>
    <w:rsid w:val="00CB335F"/>
    <w:rsid w:val="00CB4DBF"/>
    <w:rsid w:val="00CB7821"/>
    <w:rsid w:val="00CC094A"/>
    <w:rsid w:val="00CC3D48"/>
    <w:rsid w:val="00CC570B"/>
    <w:rsid w:val="00CC5F60"/>
    <w:rsid w:val="00CC7413"/>
    <w:rsid w:val="00CC777C"/>
    <w:rsid w:val="00CD06D3"/>
    <w:rsid w:val="00CD2C6B"/>
    <w:rsid w:val="00CD317C"/>
    <w:rsid w:val="00CD357B"/>
    <w:rsid w:val="00CD6381"/>
    <w:rsid w:val="00CD6E42"/>
    <w:rsid w:val="00CD72FD"/>
    <w:rsid w:val="00CE03FC"/>
    <w:rsid w:val="00CE0ED3"/>
    <w:rsid w:val="00CE12D2"/>
    <w:rsid w:val="00CE2649"/>
    <w:rsid w:val="00CE7D38"/>
    <w:rsid w:val="00CF020C"/>
    <w:rsid w:val="00CF3D39"/>
    <w:rsid w:val="00CF66FE"/>
    <w:rsid w:val="00CF784E"/>
    <w:rsid w:val="00CF7D39"/>
    <w:rsid w:val="00CF7FF1"/>
    <w:rsid w:val="00D03E5E"/>
    <w:rsid w:val="00D0614C"/>
    <w:rsid w:val="00D06173"/>
    <w:rsid w:val="00D067C8"/>
    <w:rsid w:val="00D07DBF"/>
    <w:rsid w:val="00D11B61"/>
    <w:rsid w:val="00D12852"/>
    <w:rsid w:val="00D1317A"/>
    <w:rsid w:val="00D15AAB"/>
    <w:rsid w:val="00D1657B"/>
    <w:rsid w:val="00D1700C"/>
    <w:rsid w:val="00D2002B"/>
    <w:rsid w:val="00D20979"/>
    <w:rsid w:val="00D2512F"/>
    <w:rsid w:val="00D30447"/>
    <w:rsid w:val="00D304C4"/>
    <w:rsid w:val="00D31BEC"/>
    <w:rsid w:val="00D34117"/>
    <w:rsid w:val="00D34960"/>
    <w:rsid w:val="00D419AE"/>
    <w:rsid w:val="00D41BC4"/>
    <w:rsid w:val="00D449C9"/>
    <w:rsid w:val="00D46008"/>
    <w:rsid w:val="00D503BA"/>
    <w:rsid w:val="00D50848"/>
    <w:rsid w:val="00D53023"/>
    <w:rsid w:val="00D5305C"/>
    <w:rsid w:val="00D5414F"/>
    <w:rsid w:val="00D5773E"/>
    <w:rsid w:val="00D62F61"/>
    <w:rsid w:val="00D62F6C"/>
    <w:rsid w:val="00D635B9"/>
    <w:rsid w:val="00D6468A"/>
    <w:rsid w:val="00D65700"/>
    <w:rsid w:val="00D65BF8"/>
    <w:rsid w:val="00D66FB2"/>
    <w:rsid w:val="00D7035D"/>
    <w:rsid w:val="00D70CF9"/>
    <w:rsid w:val="00D732D7"/>
    <w:rsid w:val="00D7419F"/>
    <w:rsid w:val="00D83522"/>
    <w:rsid w:val="00D8479F"/>
    <w:rsid w:val="00D854E5"/>
    <w:rsid w:val="00D86AD4"/>
    <w:rsid w:val="00D8715D"/>
    <w:rsid w:val="00D90BCE"/>
    <w:rsid w:val="00D94A5A"/>
    <w:rsid w:val="00D97D7B"/>
    <w:rsid w:val="00DA0D8C"/>
    <w:rsid w:val="00DA25A7"/>
    <w:rsid w:val="00DA2E11"/>
    <w:rsid w:val="00DA572E"/>
    <w:rsid w:val="00DA7AC3"/>
    <w:rsid w:val="00DB124E"/>
    <w:rsid w:val="00DB3469"/>
    <w:rsid w:val="00DB4044"/>
    <w:rsid w:val="00DB7F4F"/>
    <w:rsid w:val="00DC2CA3"/>
    <w:rsid w:val="00DC3E15"/>
    <w:rsid w:val="00DD415E"/>
    <w:rsid w:val="00DD41A9"/>
    <w:rsid w:val="00DD568E"/>
    <w:rsid w:val="00DD7F27"/>
    <w:rsid w:val="00DE2715"/>
    <w:rsid w:val="00DE6155"/>
    <w:rsid w:val="00DE618A"/>
    <w:rsid w:val="00DE76E4"/>
    <w:rsid w:val="00DE780D"/>
    <w:rsid w:val="00DE7E4B"/>
    <w:rsid w:val="00DE7EB9"/>
    <w:rsid w:val="00DF09EC"/>
    <w:rsid w:val="00DF18DC"/>
    <w:rsid w:val="00DF1B0E"/>
    <w:rsid w:val="00DF5E11"/>
    <w:rsid w:val="00DF7017"/>
    <w:rsid w:val="00E018D7"/>
    <w:rsid w:val="00E04668"/>
    <w:rsid w:val="00E07BD9"/>
    <w:rsid w:val="00E11965"/>
    <w:rsid w:val="00E11EB0"/>
    <w:rsid w:val="00E12159"/>
    <w:rsid w:val="00E14F7E"/>
    <w:rsid w:val="00E21B26"/>
    <w:rsid w:val="00E226F6"/>
    <w:rsid w:val="00E23DE5"/>
    <w:rsid w:val="00E25D1E"/>
    <w:rsid w:val="00E31C54"/>
    <w:rsid w:val="00E32D02"/>
    <w:rsid w:val="00E32FA6"/>
    <w:rsid w:val="00E3344D"/>
    <w:rsid w:val="00E376C7"/>
    <w:rsid w:val="00E42301"/>
    <w:rsid w:val="00E43E9F"/>
    <w:rsid w:val="00E479AD"/>
    <w:rsid w:val="00E53087"/>
    <w:rsid w:val="00E557CB"/>
    <w:rsid w:val="00E564A4"/>
    <w:rsid w:val="00E56945"/>
    <w:rsid w:val="00E61CF9"/>
    <w:rsid w:val="00E6365E"/>
    <w:rsid w:val="00E668E3"/>
    <w:rsid w:val="00E67F0A"/>
    <w:rsid w:val="00E71073"/>
    <w:rsid w:val="00E719B0"/>
    <w:rsid w:val="00E7596F"/>
    <w:rsid w:val="00E769E5"/>
    <w:rsid w:val="00E80D0F"/>
    <w:rsid w:val="00E81AA6"/>
    <w:rsid w:val="00E83657"/>
    <w:rsid w:val="00E96ADE"/>
    <w:rsid w:val="00E97FED"/>
    <w:rsid w:val="00EA0680"/>
    <w:rsid w:val="00EA1203"/>
    <w:rsid w:val="00EA253C"/>
    <w:rsid w:val="00EA6639"/>
    <w:rsid w:val="00EA6B66"/>
    <w:rsid w:val="00EA7E62"/>
    <w:rsid w:val="00EB5037"/>
    <w:rsid w:val="00EC0078"/>
    <w:rsid w:val="00EC144F"/>
    <w:rsid w:val="00EC504E"/>
    <w:rsid w:val="00EC7C28"/>
    <w:rsid w:val="00ED02F5"/>
    <w:rsid w:val="00ED1975"/>
    <w:rsid w:val="00ED585D"/>
    <w:rsid w:val="00ED6415"/>
    <w:rsid w:val="00ED6A1D"/>
    <w:rsid w:val="00EE0DAF"/>
    <w:rsid w:val="00EE4AAD"/>
    <w:rsid w:val="00EE5607"/>
    <w:rsid w:val="00EE7C7E"/>
    <w:rsid w:val="00EF0B2B"/>
    <w:rsid w:val="00EF7AF1"/>
    <w:rsid w:val="00F03F52"/>
    <w:rsid w:val="00F10A47"/>
    <w:rsid w:val="00F11249"/>
    <w:rsid w:val="00F1221A"/>
    <w:rsid w:val="00F16043"/>
    <w:rsid w:val="00F179DB"/>
    <w:rsid w:val="00F17C34"/>
    <w:rsid w:val="00F205D7"/>
    <w:rsid w:val="00F23796"/>
    <w:rsid w:val="00F2380A"/>
    <w:rsid w:val="00F24C0A"/>
    <w:rsid w:val="00F33335"/>
    <w:rsid w:val="00F416AB"/>
    <w:rsid w:val="00F42102"/>
    <w:rsid w:val="00F4504B"/>
    <w:rsid w:val="00F45658"/>
    <w:rsid w:val="00F45A88"/>
    <w:rsid w:val="00F52964"/>
    <w:rsid w:val="00F53F09"/>
    <w:rsid w:val="00F55694"/>
    <w:rsid w:val="00F55B0C"/>
    <w:rsid w:val="00F55D88"/>
    <w:rsid w:val="00F56EF5"/>
    <w:rsid w:val="00F61A7F"/>
    <w:rsid w:val="00F63639"/>
    <w:rsid w:val="00F63868"/>
    <w:rsid w:val="00F64D49"/>
    <w:rsid w:val="00F66D07"/>
    <w:rsid w:val="00F7230C"/>
    <w:rsid w:val="00F734DE"/>
    <w:rsid w:val="00F75452"/>
    <w:rsid w:val="00F8137B"/>
    <w:rsid w:val="00F8158E"/>
    <w:rsid w:val="00F81EA7"/>
    <w:rsid w:val="00F82EE6"/>
    <w:rsid w:val="00F83732"/>
    <w:rsid w:val="00F84279"/>
    <w:rsid w:val="00F86340"/>
    <w:rsid w:val="00F900CB"/>
    <w:rsid w:val="00F92579"/>
    <w:rsid w:val="00FA1F1F"/>
    <w:rsid w:val="00FA3ADD"/>
    <w:rsid w:val="00FA5F2C"/>
    <w:rsid w:val="00FB4B4F"/>
    <w:rsid w:val="00FC005D"/>
    <w:rsid w:val="00FC0B4A"/>
    <w:rsid w:val="00FC11A4"/>
    <w:rsid w:val="00FC13FB"/>
    <w:rsid w:val="00FC251B"/>
    <w:rsid w:val="00FC30C9"/>
    <w:rsid w:val="00FC5CD8"/>
    <w:rsid w:val="00FC66FC"/>
    <w:rsid w:val="00FC7421"/>
    <w:rsid w:val="00FD3778"/>
    <w:rsid w:val="00FD4FB1"/>
    <w:rsid w:val="00FD5BF9"/>
    <w:rsid w:val="00FD5D26"/>
    <w:rsid w:val="00FD60FA"/>
    <w:rsid w:val="00FE0CB7"/>
    <w:rsid w:val="00FE1A86"/>
    <w:rsid w:val="00FE482E"/>
    <w:rsid w:val="00FF4ABD"/>
    <w:rsid w:val="00FF50F9"/>
    <w:rsid w:val="00FF7A6F"/>
    <w:rsid w:val="04665255"/>
    <w:rsid w:val="08086440"/>
    <w:rsid w:val="08412454"/>
    <w:rsid w:val="09772BD9"/>
    <w:rsid w:val="09E24010"/>
    <w:rsid w:val="0B9263C7"/>
    <w:rsid w:val="0BF277E3"/>
    <w:rsid w:val="0E076EAF"/>
    <w:rsid w:val="10383D86"/>
    <w:rsid w:val="11437AA0"/>
    <w:rsid w:val="147A51EF"/>
    <w:rsid w:val="16DD38D8"/>
    <w:rsid w:val="17995C57"/>
    <w:rsid w:val="1A3F6909"/>
    <w:rsid w:val="1C784846"/>
    <w:rsid w:val="1D373C13"/>
    <w:rsid w:val="1F140503"/>
    <w:rsid w:val="1F271888"/>
    <w:rsid w:val="227C0038"/>
    <w:rsid w:val="23B57DF5"/>
    <w:rsid w:val="240E083F"/>
    <w:rsid w:val="2628108B"/>
    <w:rsid w:val="26A27D7D"/>
    <w:rsid w:val="2727468F"/>
    <w:rsid w:val="27EA2E01"/>
    <w:rsid w:val="2AD750A7"/>
    <w:rsid w:val="302B36FB"/>
    <w:rsid w:val="31296637"/>
    <w:rsid w:val="31482679"/>
    <w:rsid w:val="35313E7F"/>
    <w:rsid w:val="37B03225"/>
    <w:rsid w:val="3873781E"/>
    <w:rsid w:val="38DD3584"/>
    <w:rsid w:val="3B474DD9"/>
    <w:rsid w:val="3CEC5C37"/>
    <w:rsid w:val="3CF56F85"/>
    <w:rsid w:val="3D956F7E"/>
    <w:rsid w:val="3F757CD5"/>
    <w:rsid w:val="40041E63"/>
    <w:rsid w:val="42F66316"/>
    <w:rsid w:val="43FC5E63"/>
    <w:rsid w:val="46691558"/>
    <w:rsid w:val="4CA2383F"/>
    <w:rsid w:val="4D804FAE"/>
    <w:rsid w:val="4D8F4170"/>
    <w:rsid w:val="503D077F"/>
    <w:rsid w:val="514F30C0"/>
    <w:rsid w:val="51765FC3"/>
    <w:rsid w:val="54452C40"/>
    <w:rsid w:val="55A41C2D"/>
    <w:rsid w:val="5973674F"/>
    <w:rsid w:val="5AE831D5"/>
    <w:rsid w:val="5C3F79E2"/>
    <w:rsid w:val="5D63387A"/>
    <w:rsid w:val="5FDA6831"/>
    <w:rsid w:val="5FF330FE"/>
    <w:rsid w:val="60340F79"/>
    <w:rsid w:val="613C70E0"/>
    <w:rsid w:val="621743E6"/>
    <w:rsid w:val="65B12D1E"/>
    <w:rsid w:val="667C37BE"/>
    <w:rsid w:val="67C15446"/>
    <w:rsid w:val="67F662B5"/>
    <w:rsid w:val="67FA7008"/>
    <w:rsid w:val="6A9D16A1"/>
    <w:rsid w:val="6BFD7F42"/>
    <w:rsid w:val="6CA865BD"/>
    <w:rsid w:val="6DFF6E6F"/>
    <w:rsid w:val="6E7F693B"/>
    <w:rsid w:val="6F936648"/>
    <w:rsid w:val="7495113F"/>
    <w:rsid w:val="766B233D"/>
    <w:rsid w:val="76C42119"/>
    <w:rsid w:val="79060120"/>
    <w:rsid w:val="7BFD3595"/>
    <w:rsid w:val="7C0E57A2"/>
    <w:rsid w:val="7D3B7847"/>
    <w:rsid w:val="7EAEA7DB"/>
    <w:rsid w:val="7F1B2799"/>
    <w:rsid w:val="7F9341D5"/>
    <w:rsid w:val="7FB5B001"/>
    <w:rsid w:val="7FDEB713"/>
    <w:rsid w:val="7FF59C78"/>
    <w:rsid w:val="9F9F59D2"/>
    <w:rsid w:val="B6BFF448"/>
    <w:rsid w:val="DFFED0D4"/>
    <w:rsid w:val="FDB9C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4"/>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6">
    <w:name w:val="heading 3"/>
    <w:basedOn w:val="1"/>
    <w:next w:val="1"/>
    <w:link w:val="25"/>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26"/>
    <w:qFormat/>
    <w:uiPriority w:val="9"/>
    <w:pPr>
      <w:keepNext/>
      <w:keepLines/>
      <w:spacing w:before="280" w:after="290" w:line="376" w:lineRule="auto"/>
      <w:outlineLvl w:val="3"/>
    </w:pPr>
    <w:rPr>
      <w:rFonts w:ascii="等线 Light" w:hAnsi="等线 Light" w:eastAsia="等线 Light"/>
      <w:b/>
      <w:bCs/>
      <w:kern w:val="0"/>
      <w:sz w:val="28"/>
      <w:szCs w:val="28"/>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27"/>
    <w:qFormat/>
    <w:uiPriority w:val="0"/>
    <w:pPr>
      <w:spacing w:after="120"/>
    </w:pPr>
    <w:rPr>
      <w:kern w:val="0"/>
      <w:sz w:val="20"/>
      <w:szCs w:val="20"/>
    </w:rPr>
  </w:style>
  <w:style w:type="paragraph" w:styleId="8">
    <w:name w:val="annotation subject"/>
    <w:basedOn w:val="9"/>
    <w:next w:val="9"/>
    <w:link w:val="38"/>
    <w:semiHidden/>
    <w:unhideWhenUsed/>
    <w:qFormat/>
    <w:uiPriority w:val="99"/>
    <w:rPr>
      <w:b/>
      <w:bCs/>
    </w:rPr>
  </w:style>
  <w:style w:type="paragraph" w:styleId="9">
    <w:name w:val="annotation text"/>
    <w:basedOn w:val="1"/>
    <w:link w:val="37"/>
    <w:semiHidden/>
    <w:unhideWhenUsed/>
    <w:qFormat/>
    <w:uiPriority w:val="99"/>
    <w:pPr>
      <w:jc w:val="left"/>
    </w:pPr>
  </w:style>
  <w:style w:type="paragraph" w:styleId="10">
    <w:name w:val="Balloon Text"/>
    <w:basedOn w:val="1"/>
    <w:link w:val="34"/>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kern w:val="0"/>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style>
  <w:style w:type="paragraph" w:styleId="14">
    <w:name w:val="footnote text"/>
    <w:basedOn w:val="1"/>
    <w:link w:val="30"/>
    <w:unhideWhenUsed/>
    <w:qFormat/>
    <w:uiPriority w:val="99"/>
    <w:pPr>
      <w:widowControl/>
      <w:snapToGrid w:val="0"/>
      <w:jc w:val="left"/>
    </w:pPr>
    <w:rPr>
      <w:rFonts w:ascii="Calibri" w:hAnsi="Calibri"/>
      <w:sz w:val="18"/>
      <w:szCs w:val="18"/>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0"/>
    <w:pPr>
      <w:jc w:val="left"/>
    </w:pPr>
    <w:rPr>
      <w:kern w:val="0"/>
      <w:sz w:val="24"/>
      <w:szCs w:val="24"/>
    </w:rPr>
  </w:style>
  <w:style w:type="character" w:styleId="18">
    <w:name w:val="Hyperlink"/>
    <w:unhideWhenUsed/>
    <w:qFormat/>
    <w:uiPriority w:val="99"/>
    <w:rPr>
      <w:color w:val="0563C1"/>
      <w:u w:val="single"/>
    </w:rPr>
  </w:style>
  <w:style w:type="character" w:styleId="19">
    <w:name w:val="annotation reference"/>
    <w:basedOn w:val="17"/>
    <w:semiHidden/>
    <w:unhideWhenUsed/>
    <w:qFormat/>
    <w:uiPriority w:val="99"/>
    <w:rPr>
      <w:sz w:val="21"/>
      <w:szCs w:val="21"/>
    </w:rPr>
  </w:style>
  <w:style w:type="character" w:styleId="20">
    <w:name w:val="footnote reference"/>
    <w:unhideWhenUsed/>
    <w:qFormat/>
    <w:uiPriority w:val="99"/>
    <w:rPr>
      <w:vertAlign w:val="superscript"/>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1 Char"/>
    <w:link w:val="4"/>
    <w:qFormat/>
    <w:uiPriority w:val="9"/>
    <w:rPr>
      <w:b/>
      <w:bCs/>
      <w:kern w:val="44"/>
      <w:sz w:val="44"/>
      <w:szCs w:val="44"/>
    </w:rPr>
  </w:style>
  <w:style w:type="character" w:customStyle="1" w:styleId="24">
    <w:name w:val="标题 2 Char"/>
    <w:link w:val="5"/>
    <w:qFormat/>
    <w:uiPriority w:val="9"/>
    <w:rPr>
      <w:rFonts w:ascii="等线 Light" w:hAnsi="等线 Light" w:eastAsia="等线 Light" w:cs="Times New Roman"/>
      <w:b/>
      <w:bCs/>
      <w:sz w:val="32"/>
      <w:szCs w:val="32"/>
    </w:rPr>
  </w:style>
  <w:style w:type="character" w:customStyle="1" w:styleId="25">
    <w:name w:val="标题 3 Char"/>
    <w:link w:val="6"/>
    <w:qFormat/>
    <w:uiPriority w:val="9"/>
    <w:rPr>
      <w:b/>
      <w:bCs/>
      <w:sz w:val="32"/>
      <w:szCs w:val="32"/>
    </w:rPr>
  </w:style>
  <w:style w:type="character" w:customStyle="1" w:styleId="26">
    <w:name w:val="标题 4 Char"/>
    <w:link w:val="7"/>
    <w:qFormat/>
    <w:uiPriority w:val="9"/>
    <w:rPr>
      <w:rFonts w:ascii="等线 Light" w:hAnsi="等线 Light" w:eastAsia="等线 Light" w:cs="Times New Roman"/>
      <w:b/>
      <w:bCs/>
      <w:sz w:val="28"/>
      <w:szCs w:val="28"/>
    </w:rPr>
  </w:style>
  <w:style w:type="character" w:customStyle="1" w:styleId="27">
    <w:name w:val="正文文本 Char"/>
    <w:link w:val="3"/>
    <w:qFormat/>
    <w:uiPriority w:val="0"/>
    <w:rPr>
      <w:kern w:val="0"/>
    </w:rPr>
  </w:style>
  <w:style w:type="character" w:customStyle="1" w:styleId="28">
    <w:name w:val="页脚 Char"/>
    <w:link w:val="11"/>
    <w:qFormat/>
    <w:uiPriority w:val="99"/>
    <w:rPr>
      <w:sz w:val="18"/>
      <w:szCs w:val="18"/>
    </w:rPr>
  </w:style>
  <w:style w:type="character" w:customStyle="1" w:styleId="29">
    <w:name w:val="页眉 Char"/>
    <w:link w:val="12"/>
    <w:qFormat/>
    <w:uiPriority w:val="99"/>
    <w:rPr>
      <w:sz w:val="18"/>
      <w:szCs w:val="18"/>
    </w:rPr>
  </w:style>
  <w:style w:type="character" w:customStyle="1" w:styleId="30">
    <w:name w:val="脚注文本 Char"/>
    <w:link w:val="14"/>
    <w:semiHidden/>
    <w:qFormat/>
    <w:uiPriority w:val="99"/>
    <w:rPr>
      <w:rFonts w:ascii="Calibri" w:hAnsi="Calibri" w:eastAsia="宋体" w:cs="Times New Roman"/>
      <w:kern w:val="2"/>
      <w:sz w:val="18"/>
      <w:szCs w:val="18"/>
    </w:rPr>
  </w:style>
  <w:style w:type="character" w:customStyle="1" w:styleId="31">
    <w:name w:val="规划-正文 Char"/>
    <w:link w:val="32"/>
    <w:qFormat/>
    <w:uiPriority w:val="0"/>
    <w:rPr>
      <w:rFonts w:ascii="Times New Roman" w:hAnsi="Times New Roman" w:eastAsia="仿宋_GB2312"/>
      <w:sz w:val="32"/>
      <w:szCs w:val="24"/>
    </w:rPr>
  </w:style>
  <w:style w:type="paragraph" w:customStyle="1" w:styleId="32">
    <w:name w:val="规划-正文"/>
    <w:basedOn w:val="1"/>
    <w:link w:val="31"/>
    <w:qFormat/>
    <w:uiPriority w:val="0"/>
    <w:pPr>
      <w:ind w:firstLine="480" w:firstLineChars="200"/>
    </w:pPr>
    <w:rPr>
      <w:rFonts w:eastAsia="仿宋_GB2312"/>
      <w:kern w:val="0"/>
      <w:sz w:val="32"/>
      <w:szCs w:val="24"/>
    </w:rPr>
  </w:style>
  <w:style w:type="character" w:customStyle="1" w:styleId="33">
    <w:name w:val="bjh-p"/>
    <w:qFormat/>
    <w:uiPriority w:val="0"/>
  </w:style>
  <w:style w:type="character" w:customStyle="1" w:styleId="34">
    <w:name w:val="批注框文本 Char"/>
    <w:basedOn w:val="17"/>
    <w:link w:val="10"/>
    <w:semiHidden/>
    <w:qFormat/>
    <w:uiPriority w:val="99"/>
    <w:rPr>
      <w:kern w:val="2"/>
      <w:sz w:val="18"/>
      <w:szCs w:val="18"/>
    </w:rPr>
  </w:style>
  <w:style w:type="paragraph" w:customStyle="1" w:styleId="35">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36">
    <w:name w:val="修订2"/>
    <w:hidden/>
    <w:semiHidden/>
    <w:qFormat/>
    <w:uiPriority w:val="99"/>
    <w:rPr>
      <w:rFonts w:ascii="Times New Roman" w:hAnsi="Times New Roman" w:eastAsia="宋体" w:cs="Times New Roman"/>
      <w:kern w:val="2"/>
      <w:sz w:val="21"/>
      <w:szCs w:val="22"/>
      <w:lang w:val="en-US" w:eastAsia="zh-CN" w:bidi="ar-SA"/>
    </w:rPr>
  </w:style>
  <w:style w:type="character" w:customStyle="1" w:styleId="37">
    <w:name w:val="批注文字 Char"/>
    <w:basedOn w:val="17"/>
    <w:link w:val="9"/>
    <w:semiHidden/>
    <w:qFormat/>
    <w:uiPriority w:val="99"/>
    <w:rPr>
      <w:kern w:val="2"/>
      <w:sz w:val="21"/>
      <w:szCs w:val="22"/>
    </w:rPr>
  </w:style>
  <w:style w:type="character" w:customStyle="1" w:styleId="38">
    <w:name w:val="批注主题 Char"/>
    <w:basedOn w:val="37"/>
    <w:link w:val="8"/>
    <w:semiHidden/>
    <w:qFormat/>
    <w:uiPriority w:val="99"/>
    <w:rPr>
      <w:b/>
      <w:bCs/>
      <w:kern w:val="2"/>
      <w:sz w:val="21"/>
      <w:szCs w:val="22"/>
    </w:rPr>
  </w:style>
  <w:style w:type="paragraph" w:customStyle="1" w:styleId="39">
    <w:name w:val="修订3"/>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Pages>
  <Words>2587</Words>
  <Characters>14746</Characters>
  <Lines>122</Lines>
  <Paragraphs>34</Paragraphs>
  <TotalTime>139</TotalTime>
  <ScaleCrop>false</ScaleCrop>
  <LinksUpToDate>false</LinksUpToDate>
  <CharactersWithSpaces>17299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2022-04-02T07:32:00Z</dcterms:created>
  <dc:creator>明 亮</dc:creator>
  <cp:lastModifiedBy>郑波</cp:lastModifiedBy>
  <dcterms:modified xsi:type="dcterms:W3CDTF">2022-10-12T02:47:12Z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D725153CA8864D70BBE885800911A6B4</vt:lpwstr>
  </property>
</Properties>
</file>