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contextualSpacing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contextualSpacing/>
        <w:jc w:val="center"/>
        <w:textAlignment w:val="auto"/>
        <w:rPr>
          <w:rFonts w:hint="default" w:ascii="Arial" w:hAnsi="Arial" w:eastAsia="黑体" w:cstheme="minorBidi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 w:bidi="ar-SA"/>
        </w:rPr>
        <w:t>工程造价咨询企业接受检查时应提供的资料清单</w:t>
      </w: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被检企业应根据检查内容做好自检及迎检工作，并准备如下资料: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内控制度（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档案管理、质量控制、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2年度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项目咨询业务档案，按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建设工程造价咨询质量控制规范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DB42/T-823-2021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）的相关要求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分类整理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contextualSpacing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造价工程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师注册证书、劳动合同及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57D1"/>
    <w:rsid w:val="09106F7C"/>
    <w:rsid w:val="3D5657D1"/>
    <w:rsid w:val="443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"/>
    <w:basedOn w:val="1"/>
    <w:qFormat/>
    <w:uiPriority w:val="0"/>
    <w:pPr>
      <w:spacing w:after="120" w:afterLines="0"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2023-06-25T02:27:00Z</dcterms:created>
  <dc:creator>Administrator</dc:creator>
  <cp:lastModifiedBy>易琳</cp:lastModifiedBy>
  <cp:lastPrinted>2023-06-26T04:08:13Z</cp:lastPrinted>
  <dcterms:modified xsi:type="dcterms:W3CDTF">2023-06-26T04:08:15Z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