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工程监理企业资质的审查意见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292"/>
        <w:gridCol w:w="4363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申报资质</w:t>
            </w:r>
          </w:p>
        </w:tc>
        <w:tc>
          <w:tcPr>
            <w:tcW w:w="55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55" w:type="dxa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武汉融智筑谷建设工程咨询有限公司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同意：1、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湖北合联工程管理有限公司</w:t>
            </w:r>
          </w:p>
        </w:tc>
        <w:tc>
          <w:tcPr>
            <w:tcW w:w="436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增项:专业资质通信工程乙级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缺少企业法人任命文件。2、技术负责人简历无本人签名。3、机电安装工程专业注册监理工程师人员数量不满足现有资质要求，不予认可。4、未查询到所有人员近期社保缴纳情况，存疑待核。5、企业组织结构图无盖章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武汉新纪建设项目管理有限公司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增项:专业资质房屋建筑工程乙级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原因：1、技术负责人简历不符合要求。2、未查询到所有人员近期社保缴纳情况，存疑待核。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湖北百年建设监理有限责任公司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增项:专业资质机电安装工程乙级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专业资质机电安装工程乙级。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企业基本信息填写错误（企业类型错误，资质证书编号错误）。2、法定代表人、技术负责人、企业负责人缺少企业任命文件。3、企业组织结构图缺少企业公章。4、无法查询所有人员近期社保缴纳情况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武汉市政工程设计研究院有限责任公司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增项:专业资质机电安装工程乙级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专业资质机电安装工程乙级。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1、企业组织结构图没有公章2、无法查询到所有人员近期社保缴纳情况，存疑待核。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武汉市京瑞恒项目咨询管理有限公司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1、技术负责人工作经历与注册经历不一致，工作经验不予认可。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武汉城建集团建设管理有限公司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无法查询所有人员近期社保缴费记录，存疑待核。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湖北安厦建筑设计有限公司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湖北浩旌项目管理有限公司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原因：技术负责人在苏州和讯工程项目管理有限公司工作时间为2011年01月至2020年08月，该企业获得资质时间为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2020年，故10年工作经验不予认可。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湖北通电工程管理技术有限公司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原因：企业负责人任命书无公章，简历无本人签字。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292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湖北中科信工程咨询有限公司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增项:专业资质房屋建筑工程乙级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不同意：专业资质房屋建筑工程乙级。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原因：无法查询到所有人员近期社保缴纳情况，存疑待核。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292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湖北擎坤项目管理有限公司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技术负责人注册经历与工作经历不一致。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无法查询到所有人员近期社保缴纳情况，存疑待核。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湖北中测鸿程工程咨询有限公司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1、无法查询董志春、毛梦二人近期社保缴费记录，存疑待核。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292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湖北昇虹工程项目管理有限公司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原因：技术负责人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2000年到2022年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工作期间，所在企业均无建筑类资质，故工作经验不认可。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6CCE935-DCCE-49C0-BBF8-482AC262B67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A4A5A97-DF36-4E73-82CE-E8F789066015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37616DC5"/>
    <w:rsid w:val="0555559A"/>
    <w:rsid w:val="0AAF6421"/>
    <w:rsid w:val="0D415F14"/>
    <w:rsid w:val="12D65E1D"/>
    <w:rsid w:val="1317177A"/>
    <w:rsid w:val="251A684D"/>
    <w:rsid w:val="260D2AA7"/>
    <w:rsid w:val="2AD535DF"/>
    <w:rsid w:val="2B660BC9"/>
    <w:rsid w:val="31E35DF7"/>
    <w:rsid w:val="37616DC5"/>
    <w:rsid w:val="3E1D4FFA"/>
    <w:rsid w:val="3E3B0006"/>
    <w:rsid w:val="53A25729"/>
    <w:rsid w:val="6DE43458"/>
    <w:rsid w:val="740F034F"/>
    <w:rsid w:val="7B9F686F"/>
    <w:rsid w:val="7EE56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5</Pages>
  <Words>1466</Words>
  <Characters>1512</Characters>
  <Lines>0</Lines>
  <Paragraphs>0</Paragraphs>
  <TotalTime>13</TotalTime>
  <ScaleCrop>false</ScaleCrop>
  <LinksUpToDate>false</LinksUpToDate>
  <CharactersWithSpaces>1512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2022-08-18T06:26:00Z</dcterms:created>
  <dc:creator>Tracey</dc:creator>
  <cp:lastModifiedBy>Tracey</cp:lastModifiedBy>
  <cp:lastPrinted>2022-10-19T06:30:06Z</cp:lastPrinted>
  <dcterms:modified xsi:type="dcterms:W3CDTF">2022-10-19T07:16:19Z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9A5C16CC52644CD6B8721970DA2652D5</vt:lpwstr>
  </property>
</Properties>
</file>