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80"/>
        </w:tabs>
        <w:jc w:val="left"/>
        <w:rPr>
          <w:rFonts w:hint="default" w:ascii="黑体" w:hAnsi="黑体" w:eastAsia="黑体" w:cs="黑体"/>
          <w:bCs/>
          <w:sz w:val="32"/>
          <w:szCs w:val="32"/>
          <w:lang w:val="en-US" w:eastAsia="zh-CN"/>
        </w:rPr>
      </w:pPr>
      <w:r>
        <w:rPr>
          <w:rFonts w:hint="eastAsia" w:ascii="黑体" w:hAnsi="黑体" w:eastAsia="黑体" w:cs="黑体"/>
          <w:bCs/>
          <w:sz w:val="32"/>
          <w:szCs w:val="32"/>
        </w:rPr>
        <w:t>表</w:t>
      </w:r>
      <w:r>
        <w:rPr>
          <w:rFonts w:hint="eastAsia" w:ascii="黑体" w:hAnsi="黑体" w:eastAsia="黑体" w:cs="黑体"/>
          <w:bCs/>
          <w:sz w:val="32"/>
          <w:szCs w:val="32"/>
          <w:lang w:val="en-US" w:eastAsia="zh-CN"/>
        </w:rPr>
        <w:t>11</w:t>
      </w:r>
      <w:bookmarkStart w:id="0" w:name="_GoBack"/>
      <w:bookmarkEnd w:id="0"/>
    </w:p>
    <w:tbl>
      <w:tblPr>
        <w:tblStyle w:val="3"/>
        <w:tblW w:w="10556" w:type="dxa"/>
        <w:tblInd w:w="-941" w:type="dxa"/>
        <w:tblLayout w:type="fixed"/>
        <w:tblCellMar>
          <w:top w:w="0" w:type="dxa"/>
          <w:left w:w="108" w:type="dxa"/>
          <w:bottom w:w="0" w:type="dxa"/>
          <w:right w:w="108" w:type="dxa"/>
        </w:tblCellMar>
      </w:tblPr>
      <w:tblGrid>
        <w:gridCol w:w="777"/>
        <w:gridCol w:w="840"/>
        <w:gridCol w:w="1650"/>
        <w:gridCol w:w="858"/>
        <w:gridCol w:w="2805"/>
        <w:gridCol w:w="1335"/>
        <w:gridCol w:w="1557"/>
        <w:gridCol w:w="734"/>
      </w:tblGrid>
      <w:tr>
        <w:tblPrEx>
          <w:tblLayout w:type="fixed"/>
          <w:tblCellMar>
            <w:top w:w="0" w:type="dxa"/>
            <w:left w:w="108" w:type="dxa"/>
            <w:bottom w:w="0" w:type="dxa"/>
            <w:right w:w="108" w:type="dxa"/>
          </w:tblCellMar>
        </w:tblPrEx>
        <w:trPr>
          <w:trHeight w:val="615" w:hRule="atLeast"/>
        </w:trPr>
        <w:tc>
          <w:tcPr>
            <w:tcW w:w="10556" w:type="dxa"/>
            <w:gridSpan w:val="8"/>
            <w:tcBorders>
              <w:top w:val="nil"/>
              <w:left w:val="nil"/>
              <w:bottom w:val="nil"/>
              <w:right w:val="nil"/>
            </w:tcBorders>
            <w:noWrap/>
            <w:vAlign w:val="center"/>
          </w:tcPr>
          <w:p>
            <w:pPr>
              <w:jc w:val="center"/>
              <w:rPr>
                <w:rFonts w:ascii="宋体" w:hAnsi="宋体" w:cs="宋体"/>
                <w:kern w:val="0"/>
                <w:sz w:val="32"/>
                <w:szCs w:val="32"/>
                <w:u w:val="single"/>
              </w:rPr>
            </w:pPr>
            <w:r>
              <w:rPr>
                <w:rFonts w:hint="eastAsia" w:ascii="宋体" w:hAnsi="宋体"/>
                <w:b/>
                <w:bCs/>
                <w:kern w:val="0"/>
                <w:sz w:val="44"/>
                <w:szCs w:val="44"/>
              </w:rPr>
              <w:t>预拌混凝土生产站点绿色生产记分检查表</w:t>
            </w:r>
          </w:p>
        </w:tc>
      </w:tr>
      <w:tr>
        <w:tblPrEx>
          <w:tblLayout w:type="fixed"/>
          <w:tblCellMar>
            <w:top w:w="0" w:type="dxa"/>
            <w:left w:w="108" w:type="dxa"/>
            <w:bottom w:w="0" w:type="dxa"/>
            <w:right w:w="108" w:type="dxa"/>
          </w:tblCellMar>
        </w:tblPrEx>
        <w:trPr>
          <w:trHeight w:val="167" w:hRule="atLeast"/>
        </w:trPr>
        <w:tc>
          <w:tcPr>
            <w:tcW w:w="10556" w:type="dxa"/>
            <w:gridSpan w:val="8"/>
            <w:tcBorders>
              <w:top w:val="nil"/>
              <w:left w:val="nil"/>
              <w:bottom w:val="single" w:color="auto" w:sz="4" w:space="0"/>
              <w:right w:val="nil"/>
            </w:tcBorders>
            <w:noWrap/>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541" w:hRule="exact"/>
        </w:trPr>
        <w:tc>
          <w:tcPr>
            <w:tcW w:w="161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方正小标宋简体" w:hAnsi="宋体" w:eastAsia="方正小标宋简体" w:cs="宋体"/>
                <w:kern w:val="0"/>
                <w:sz w:val="24"/>
              </w:rPr>
            </w:pPr>
            <w:r>
              <w:rPr>
                <w:rFonts w:hint="eastAsia" w:ascii="宋体" w:hAnsi="宋体" w:cs="宋体"/>
                <w:kern w:val="0"/>
                <w:sz w:val="24"/>
              </w:rPr>
              <w:t>站点名称</w:t>
            </w:r>
          </w:p>
        </w:tc>
        <w:tc>
          <w:tcPr>
            <w:tcW w:w="531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方正小标宋简体" w:hAnsi="宋体" w:eastAsia="方正小标宋简体" w:cs="宋体"/>
                <w:kern w:val="0"/>
                <w:sz w:val="24"/>
              </w:rPr>
            </w:pPr>
          </w:p>
        </w:tc>
        <w:tc>
          <w:tcPr>
            <w:tcW w:w="133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kern w:val="0"/>
                <w:sz w:val="24"/>
              </w:rPr>
            </w:pPr>
            <w:r>
              <w:rPr>
                <w:rFonts w:hint="eastAsia" w:ascii="宋体" w:hAnsi="宋体" w:cs="宋体"/>
                <w:kern w:val="0"/>
                <w:sz w:val="24"/>
              </w:rPr>
              <w:t>负责人</w:t>
            </w:r>
          </w:p>
        </w:tc>
        <w:tc>
          <w:tcPr>
            <w:tcW w:w="2291"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方正小标宋简体" w:hAnsi="宋体" w:eastAsia="方正小标宋简体" w:cs="宋体"/>
                <w:kern w:val="0"/>
                <w:sz w:val="24"/>
              </w:rPr>
            </w:pPr>
          </w:p>
        </w:tc>
      </w:tr>
      <w:tr>
        <w:tblPrEx>
          <w:tblLayout w:type="fixed"/>
          <w:tblCellMar>
            <w:top w:w="0" w:type="dxa"/>
            <w:left w:w="108" w:type="dxa"/>
            <w:bottom w:w="0" w:type="dxa"/>
            <w:right w:w="108" w:type="dxa"/>
          </w:tblCellMar>
        </w:tblPrEx>
        <w:trPr>
          <w:trHeight w:val="567" w:hRule="exact"/>
        </w:trPr>
        <w:tc>
          <w:tcPr>
            <w:tcW w:w="161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方正小标宋简体" w:hAnsi="宋体" w:eastAsia="方正小标宋简体" w:cs="宋体"/>
                <w:kern w:val="0"/>
                <w:sz w:val="24"/>
              </w:rPr>
            </w:pPr>
            <w:r>
              <w:rPr>
                <w:rFonts w:hint="eastAsia" w:ascii="宋体" w:hAnsi="宋体" w:cs="宋体"/>
                <w:kern w:val="0"/>
                <w:sz w:val="24"/>
              </w:rPr>
              <w:t>生产地址</w:t>
            </w:r>
          </w:p>
        </w:tc>
        <w:tc>
          <w:tcPr>
            <w:tcW w:w="531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方正小标宋简体" w:hAnsi="宋体" w:eastAsia="方正小标宋简体" w:cs="宋体"/>
                <w:kern w:val="0"/>
                <w:sz w:val="24"/>
              </w:rPr>
            </w:pPr>
          </w:p>
        </w:tc>
        <w:tc>
          <w:tcPr>
            <w:tcW w:w="133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kern w:val="0"/>
                <w:sz w:val="24"/>
              </w:rPr>
            </w:pPr>
            <w:r>
              <w:rPr>
                <w:rFonts w:hint="eastAsia" w:ascii="宋体" w:hAnsi="宋体" w:cs="宋体"/>
                <w:kern w:val="0"/>
                <w:sz w:val="24"/>
              </w:rPr>
              <w:t>联系电话</w:t>
            </w:r>
          </w:p>
        </w:tc>
        <w:tc>
          <w:tcPr>
            <w:tcW w:w="2291"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方正小标宋简体" w:hAnsi="宋体" w:eastAsia="方正小标宋简体" w:cs="宋体"/>
                <w:kern w:val="0"/>
                <w:sz w:val="24"/>
              </w:rPr>
            </w:pPr>
          </w:p>
        </w:tc>
      </w:tr>
      <w:tr>
        <w:tblPrEx>
          <w:tblLayout w:type="fixed"/>
          <w:tblCellMar>
            <w:top w:w="0" w:type="dxa"/>
            <w:left w:w="108" w:type="dxa"/>
            <w:bottom w:w="0" w:type="dxa"/>
            <w:right w:w="108" w:type="dxa"/>
          </w:tblCellMar>
        </w:tblPrEx>
        <w:trPr>
          <w:trHeight w:val="570" w:hRule="exac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cs="宋体"/>
                <w:kern w:val="0"/>
                <w:sz w:val="24"/>
              </w:rPr>
            </w:pPr>
            <w:r>
              <w:rPr>
                <w:rFonts w:hint="eastAsia" w:ascii="宋体" w:hAnsi="宋体" w:cs="宋体"/>
                <w:kern w:val="0"/>
                <w:sz w:val="24"/>
              </w:rPr>
              <w:t>序号</w:t>
            </w:r>
          </w:p>
        </w:tc>
        <w:tc>
          <w:tcPr>
            <w:tcW w:w="2490"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cs="宋体"/>
                <w:kern w:val="0"/>
                <w:sz w:val="24"/>
              </w:rPr>
            </w:pPr>
            <w:r>
              <w:rPr>
                <w:rFonts w:hint="eastAsia" w:ascii="宋体" w:hAnsi="宋体" w:cs="宋体"/>
                <w:kern w:val="0"/>
                <w:sz w:val="24"/>
              </w:rPr>
              <w:t>检查项目</w:t>
            </w:r>
          </w:p>
        </w:tc>
        <w:tc>
          <w:tcPr>
            <w:tcW w:w="85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cs="宋体"/>
                <w:kern w:val="0"/>
                <w:sz w:val="24"/>
              </w:rPr>
            </w:pPr>
            <w:r>
              <w:rPr>
                <w:rFonts w:hint="eastAsia" w:ascii="宋体" w:hAnsi="宋体" w:cs="宋体"/>
                <w:kern w:val="0"/>
                <w:sz w:val="24"/>
              </w:rPr>
              <w:t>分值</w:t>
            </w:r>
          </w:p>
        </w:tc>
        <w:tc>
          <w:tcPr>
            <w:tcW w:w="569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cs="宋体"/>
                <w:kern w:val="0"/>
                <w:sz w:val="24"/>
              </w:rPr>
            </w:pPr>
            <w:r>
              <w:rPr>
                <w:rFonts w:hint="eastAsia" w:ascii="宋体" w:hAnsi="宋体" w:cs="宋体"/>
                <w:kern w:val="0"/>
                <w:sz w:val="24"/>
              </w:rPr>
              <w:t>评分方法</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kern w:val="0"/>
                <w:sz w:val="24"/>
              </w:rPr>
            </w:pPr>
            <w:r>
              <w:rPr>
                <w:rFonts w:hint="eastAsia" w:ascii="宋体" w:hAnsi="宋体" w:cs="宋体"/>
                <w:kern w:val="0"/>
                <w:sz w:val="24"/>
              </w:rPr>
              <w:t>得分</w:t>
            </w: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1</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b/>
                <w:color w:val="000000"/>
                <w:kern w:val="0"/>
                <w:sz w:val="24"/>
              </w:rPr>
              <w:t>※搅拌楼全封闭</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8</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搅拌楼全封闭得8分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b/>
                <w:color w:val="000000"/>
                <w:kern w:val="0"/>
                <w:sz w:val="24"/>
              </w:rPr>
            </w:pPr>
            <w:r>
              <w:rPr>
                <w:rFonts w:hint="eastAsia" w:ascii="仿宋" w:hAnsi="仿宋" w:eastAsia="仿宋" w:cs="仿宋"/>
                <w:b/>
                <w:color w:val="000000"/>
                <w:kern w:val="0"/>
                <w:sz w:val="24"/>
              </w:rPr>
              <w:t>※骨料堆场</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8</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color w:val="000000"/>
                <w:kern w:val="0"/>
                <w:sz w:val="24"/>
              </w:rPr>
            </w:pPr>
            <w:r>
              <w:rPr>
                <w:rFonts w:hint="eastAsia" w:ascii="仿宋" w:hAnsi="仿宋" w:eastAsia="仿宋" w:cs="仿宋"/>
                <w:color w:val="000000"/>
                <w:kern w:val="0"/>
                <w:sz w:val="24"/>
              </w:rPr>
              <w:t>骨料堆场全部封闭且棚外无砂石堆料、场地硬化、安装喷淋降尘设施并正常使用得8分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3</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b/>
                <w:color w:val="000000"/>
                <w:kern w:val="0"/>
                <w:sz w:val="24"/>
              </w:rPr>
            </w:pPr>
            <w:r>
              <w:rPr>
                <w:rFonts w:hint="eastAsia" w:ascii="仿宋" w:hAnsi="仿宋" w:eastAsia="仿宋" w:cs="仿宋"/>
                <w:b/>
                <w:color w:val="000000"/>
                <w:kern w:val="0"/>
                <w:sz w:val="24"/>
              </w:rPr>
              <w:t>※配料地仓、皮带输送机全封闭</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6</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color w:val="000000"/>
                <w:kern w:val="0"/>
                <w:sz w:val="24"/>
              </w:rPr>
            </w:pPr>
            <w:r>
              <w:rPr>
                <w:rFonts w:hint="eastAsia" w:ascii="仿宋" w:hAnsi="仿宋" w:eastAsia="仿宋" w:cs="仿宋"/>
                <w:color w:val="000000"/>
                <w:kern w:val="0"/>
                <w:sz w:val="24"/>
              </w:rPr>
              <w:t>地仓封闭得3分，皮带传输机全封闭得3分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4</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b/>
                <w:color w:val="000000"/>
                <w:kern w:val="0"/>
                <w:sz w:val="24"/>
              </w:rPr>
            </w:pPr>
            <w:r>
              <w:rPr>
                <w:rFonts w:hint="eastAsia" w:ascii="仿宋" w:hAnsi="仿宋" w:eastAsia="仿宋" w:cs="仿宋"/>
                <w:b/>
                <w:color w:val="000000"/>
                <w:kern w:val="0"/>
                <w:sz w:val="24"/>
              </w:rPr>
              <w:t>※出口处设置运输车辆冲洗保洁设施</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8</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color w:val="000000"/>
                <w:kern w:val="0"/>
                <w:sz w:val="24"/>
              </w:rPr>
            </w:pPr>
            <w:r>
              <w:rPr>
                <w:rFonts w:hint="eastAsia" w:ascii="仿宋" w:hAnsi="仿宋" w:eastAsia="仿宋" w:cs="仿宋"/>
                <w:color w:val="000000"/>
                <w:kern w:val="0"/>
                <w:sz w:val="24"/>
              </w:rPr>
              <w:t>出场车辆做到及时冲洗，并无车辆带泥上路，场内停放车辆干净得4分，安装立体式高效洗轮机得4分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5</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b/>
                <w:color w:val="000000"/>
                <w:kern w:val="0"/>
                <w:sz w:val="24"/>
              </w:rPr>
            </w:pPr>
            <w:r>
              <w:rPr>
                <w:rFonts w:hint="eastAsia" w:ascii="仿宋" w:hAnsi="仿宋" w:eastAsia="仿宋" w:cs="仿宋"/>
                <w:b/>
                <w:color w:val="000000"/>
                <w:kern w:val="0"/>
                <w:sz w:val="24"/>
              </w:rPr>
              <w:t>※生产废水、废浆处置系统</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6</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设置三级沉淀池得3分；排水沟系统覆盖连通装车层、骨料堆场、砂石分离机和沉淀池得3分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6</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b/>
                <w:color w:val="000000"/>
                <w:kern w:val="0"/>
                <w:sz w:val="24"/>
              </w:rPr>
            </w:pPr>
            <w:r>
              <w:rPr>
                <w:rFonts w:hint="eastAsia" w:ascii="仿宋" w:hAnsi="仿宋" w:eastAsia="仿宋" w:cs="仿宋"/>
                <w:b/>
                <w:color w:val="000000"/>
                <w:kern w:val="0"/>
                <w:sz w:val="24"/>
              </w:rPr>
              <w:t>※废弃新拌混凝土处置设备设施</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5</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color w:val="000000"/>
                <w:kern w:val="0"/>
                <w:sz w:val="24"/>
              </w:rPr>
            </w:pPr>
            <w:r>
              <w:rPr>
                <w:rFonts w:hint="eastAsia" w:ascii="仿宋" w:hAnsi="仿宋" w:eastAsia="仿宋" w:cs="仿宋"/>
                <w:color w:val="000000"/>
                <w:kern w:val="0"/>
                <w:sz w:val="24"/>
              </w:rPr>
              <w:t>砂石分离机等设备运转正常，得5分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7</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b/>
                <w:color w:val="000000"/>
                <w:kern w:val="0"/>
                <w:sz w:val="24"/>
              </w:rPr>
            </w:pPr>
            <w:r>
              <w:rPr>
                <w:rFonts w:hint="eastAsia" w:ascii="仿宋" w:hAnsi="仿宋" w:eastAsia="仿宋" w:cs="仿宋"/>
                <w:b/>
                <w:color w:val="000000"/>
                <w:kern w:val="0"/>
                <w:sz w:val="24"/>
              </w:rPr>
              <w:t>※道路硬化及质量</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5</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道路硬化率达到100%且无破损得5分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8</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b/>
                <w:color w:val="000000"/>
                <w:kern w:val="0"/>
                <w:sz w:val="24"/>
              </w:rPr>
            </w:pPr>
            <w:r>
              <w:rPr>
                <w:rFonts w:hint="eastAsia" w:ascii="仿宋" w:hAnsi="仿宋" w:eastAsia="仿宋" w:cs="仿宋"/>
                <w:color w:val="000000"/>
                <w:kern w:val="0"/>
                <w:sz w:val="24"/>
              </w:rPr>
              <w:t>制度建设</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有完善的绿色生产管理制度得2分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9</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color w:val="000000"/>
                <w:kern w:val="0"/>
                <w:sz w:val="24"/>
              </w:rPr>
              <w:t>功能分区</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color w:val="000000"/>
                <w:kern w:val="0"/>
                <w:sz w:val="24"/>
              </w:rPr>
              <w:t>厂区内的生产区、办公区和生活区采用分区布置得2分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10</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厂区绿化</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厂区整体绿化面积达10%以上，厂区内未硬化空地的绿化率达到80%得2分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11</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固体废弃物存放</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生产区内设置生产废弃物存放处，并适合机械清运作业得2分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12</w:t>
            </w:r>
          </w:p>
        </w:tc>
        <w:tc>
          <w:tcPr>
            <w:tcW w:w="249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仿宋" w:hAnsi="仿宋" w:eastAsia="仿宋" w:cs="仿宋"/>
                <w:kern w:val="0"/>
                <w:sz w:val="24"/>
              </w:rPr>
            </w:pPr>
            <w:r>
              <w:rPr>
                <w:rFonts w:hint="eastAsia" w:ascii="仿宋" w:hAnsi="仿宋" w:eastAsia="仿宋" w:cs="仿宋"/>
                <w:color w:val="000000"/>
                <w:kern w:val="0"/>
                <w:sz w:val="24"/>
              </w:rPr>
              <w:t>整体清洁卫生</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厂区门前道路按三包要求管理得1分，厂区内卫生清洁得1分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13</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b/>
                <w:kern w:val="0"/>
                <w:sz w:val="24"/>
              </w:rPr>
            </w:pPr>
            <w:r>
              <w:rPr>
                <w:rFonts w:hint="eastAsia" w:ascii="仿宋" w:hAnsi="仿宋" w:eastAsia="仿宋" w:cs="仿宋"/>
                <w:b/>
                <w:color w:val="000000"/>
                <w:kern w:val="0"/>
                <w:sz w:val="24"/>
              </w:rPr>
              <w:t>※除尘装置</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6</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粉料筒仓顶部、粉料贮料斗、搅拌机进料口或骨料贮料斗的进料口均安装除尘装置且运转正常得6分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14</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搅拌楼清洗设备</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搅拌层和称量层有冲洗装置得2分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15</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color w:val="000000"/>
                <w:kern w:val="0"/>
                <w:sz w:val="24"/>
              </w:rPr>
              <w:t>防喷溅设施</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color w:val="000000"/>
                <w:kern w:val="0"/>
                <w:sz w:val="24"/>
              </w:rPr>
              <w:t>搅拌主机卸料口设下料软管等防喷溅设施得2分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16</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厂界隔声装置</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厂界与居民区小于50m时在厂界安装隔声装置得2分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17</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color w:val="000000"/>
                <w:kern w:val="0"/>
                <w:sz w:val="24"/>
              </w:rPr>
            </w:pPr>
            <w:r>
              <w:rPr>
                <w:rFonts w:hint="eastAsia" w:ascii="仿宋" w:hAnsi="仿宋" w:eastAsia="仿宋" w:cs="仿宋"/>
                <w:color w:val="000000"/>
                <w:kern w:val="0"/>
                <w:sz w:val="24"/>
              </w:rPr>
              <w:t>车辆防漏洒</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color w:val="000000"/>
                <w:kern w:val="0"/>
                <w:sz w:val="24"/>
              </w:rPr>
            </w:pPr>
            <w:r>
              <w:rPr>
                <w:rFonts w:hint="eastAsia" w:ascii="仿宋" w:hAnsi="仿宋" w:eastAsia="仿宋" w:cs="仿宋"/>
                <w:color w:val="000000"/>
                <w:kern w:val="0"/>
                <w:sz w:val="24"/>
              </w:rPr>
              <w:t>车辆安装防漏洒装置并正常使用得2分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18</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b/>
                <w:kern w:val="0"/>
                <w:sz w:val="24"/>
              </w:rPr>
            </w:pPr>
            <w:r>
              <w:rPr>
                <w:rFonts w:hint="eastAsia" w:ascii="仿宋" w:hAnsi="仿宋" w:eastAsia="仿宋" w:cs="仿宋"/>
                <w:b/>
                <w:color w:val="000000"/>
                <w:kern w:val="0"/>
                <w:sz w:val="24"/>
              </w:rPr>
              <w:t>※废弃物排放</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5</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color w:val="000000"/>
                <w:kern w:val="0"/>
                <w:sz w:val="24"/>
              </w:rPr>
              <w:t>不向厂区外直接排放生产废水、废浆、废弃混凝土得5分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19</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环境噪声控制</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第三方监测环境噪声满足JGJ/T328-2014标准5.4要求，得2分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20</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color w:val="000000"/>
                <w:kern w:val="0"/>
                <w:sz w:val="24"/>
              </w:rPr>
              <w:t>生产性粉尘控制</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第三方监测环境粉尘满足JGJ/T328-2014标准5.5要求，得2分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21</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color w:val="000000"/>
                <w:kern w:val="0"/>
                <w:sz w:val="24"/>
              </w:rPr>
            </w:pPr>
            <w:r>
              <w:rPr>
                <w:rFonts w:hint="eastAsia" w:ascii="仿宋" w:hAnsi="仿宋" w:eastAsia="仿宋" w:cs="仿宋"/>
                <w:color w:val="000000"/>
                <w:kern w:val="0"/>
                <w:sz w:val="24"/>
              </w:rPr>
              <w:t>生产废水和废浆的监测</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color w:val="000000"/>
                <w:kern w:val="0"/>
                <w:sz w:val="24"/>
              </w:rPr>
            </w:pPr>
            <w:r>
              <w:rPr>
                <w:rFonts w:hint="eastAsia" w:ascii="仿宋" w:hAnsi="仿宋" w:eastAsia="仿宋" w:cs="仿宋"/>
                <w:color w:val="000000"/>
                <w:kern w:val="0"/>
                <w:sz w:val="24"/>
              </w:rPr>
              <w:t>生产废水、废浆用于生产时，应有相应的检测记录得2分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22</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废水再利用</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处理后的生产废水用于生产或用于降尘及设备冲洗得2分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23</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废浆处置和利用</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废浆无害化处理或处理后用于生产，得2分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24</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废弃混凝土利用</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textAlignment w:val="center"/>
              <w:rPr>
                <w:rFonts w:ascii="仿宋" w:hAnsi="仿宋" w:eastAsia="仿宋" w:cs="仿宋"/>
                <w:kern w:val="0"/>
                <w:sz w:val="24"/>
              </w:rPr>
            </w:pPr>
            <w:r>
              <w:rPr>
                <w:rFonts w:hint="eastAsia" w:ascii="仿宋" w:hAnsi="仿宋" w:eastAsia="仿宋" w:cs="仿宋"/>
                <w:color w:val="000000"/>
                <w:kern w:val="0"/>
                <w:sz w:val="24"/>
              </w:rPr>
              <w:t>废弃混凝土用于成型小型预制构件或由砂石分离机分离后重新利用且利用率不低于90%，得2分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color w:val="000000"/>
                <w:kern w:val="0"/>
                <w:sz w:val="24"/>
              </w:rPr>
              <w:t>25</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color w:val="000000"/>
                <w:kern w:val="0"/>
                <w:sz w:val="24"/>
              </w:rPr>
              <w:t>运输管理</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3</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color w:val="000000"/>
                <w:kern w:val="0"/>
                <w:sz w:val="24"/>
              </w:rPr>
              <w:t>运输车辆有GPS定位，得1分；运输车辆达到相关环保标准，得2分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atLeas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26</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安全生产标准化证书</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1</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取得安监部门颁发的安全生产标准化证书得1分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1020" w:hRule="exac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27</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质量、环境、职业健康</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3</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符合《质量管理体系要求》GB/TI9001、《环境管理体系要求及使用指南》GB/T24001和《职业健康安全管理体系要求》GB/T28001的规定，各1分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exac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28</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扬尘污染公示牌及自动在线监测</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rPr>
                <w:rFonts w:ascii="仿宋" w:hAnsi="仿宋" w:eastAsia="仿宋" w:cs="仿宋"/>
                <w:kern w:val="0"/>
                <w:sz w:val="24"/>
              </w:rPr>
            </w:pPr>
            <w:r>
              <w:rPr>
                <w:rFonts w:hint="eastAsia" w:ascii="仿宋" w:hAnsi="仿宋" w:eastAsia="仿宋" w:cs="仿宋"/>
                <w:kern w:val="0"/>
                <w:sz w:val="24"/>
              </w:rPr>
              <w:t>悬挂有扬尘污染公示牌得1分，有</w:t>
            </w:r>
            <w:r>
              <w:rPr>
                <w:rFonts w:hint="eastAsia" w:ascii="仿宋" w:hAnsi="仿宋" w:eastAsia="仿宋" w:cs="仿宋"/>
                <w:color w:val="000000"/>
                <w:kern w:val="0"/>
                <w:sz w:val="24"/>
              </w:rPr>
              <w:t>扬尘自动在线监测设施</w:t>
            </w:r>
            <w:r>
              <w:rPr>
                <w:rFonts w:hint="eastAsia" w:ascii="仿宋" w:hAnsi="仿宋" w:eastAsia="仿宋" w:cs="仿宋"/>
                <w:kern w:val="0"/>
                <w:sz w:val="24"/>
              </w:rPr>
              <w:t>并正常使用得1分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exac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29</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kern w:val="0"/>
                <w:sz w:val="24"/>
              </w:rPr>
              <w:t>生产控制远程监控</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rPr>
                <w:rFonts w:ascii="仿宋" w:hAnsi="仿宋" w:eastAsia="仿宋" w:cs="仿宋"/>
                <w:kern w:val="0"/>
                <w:sz w:val="24"/>
              </w:rPr>
            </w:pPr>
            <w:r>
              <w:rPr>
                <w:rFonts w:hint="eastAsia" w:ascii="仿宋" w:hAnsi="仿宋" w:eastAsia="仿宋" w:cs="仿宋"/>
                <w:kern w:val="0"/>
                <w:sz w:val="24"/>
              </w:rPr>
              <w:t>生产控制室没有设置在搅拌楼内，采用远程监控操作的得2分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exact"/>
        </w:trPr>
        <w:tc>
          <w:tcPr>
            <w:tcW w:w="77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30</w:t>
            </w:r>
          </w:p>
        </w:tc>
        <w:tc>
          <w:tcPr>
            <w:tcW w:w="249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textAlignment w:val="center"/>
              <w:rPr>
                <w:rFonts w:ascii="仿宋" w:hAnsi="仿宋" w:eastAsia="仿宋" w:cs="仿宋"/>
                <w:kern w:val="0"/>
                <w:sz w:val="24"/>
              </w:rPr>
            </w:pPr>
            <w:r>
              <w:rPr>
                <w:rFonts w:hint="eastAsia" w:ascii="仿宋" w:hAnsi="仿宋" w:eastAsia="仿宋" w:cs="仿宋"/>
                <w:kern w:val="0"/>
                <w:sz w:val="24"/>
              </w:rPr>
              <w:t>绿色生产标识等</w:t>
            </w:r>
          </w:p>
        </w:tc>
        <w:tc>
          <w:tcPr>
            <w:tcW w:w="858"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2</w:t>
            </w:r>
          </w:p>
        </w:tc>
        <w:tc>
          <w:tcPr>
            <w:tcW w:w="5697"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left"/>
              <w:rPr>
                <w:rFonts w:ascii="仿宋" w:hAnsi="仿宋" w:eastAsia="仿宋" w:cs="仿宋"/>
                <w:kern w:val="0"/>
                <w:sz w:val="24"/>
              </w:rPr>
            </w:pPr>
            <w:r>
              <w:rPr>
                <w:rFonts w:hint="eastAsia" w:ascii="仿宋" w:hAnsi="仿宋" w:eastAsia="仿宋" w:cs="仿宋"/>
                <w:kern w:val="0"/>
                <w:sz w:val="24"/>
              </w:rPr>
              <w:t>有绿色生产标识证书、集中吹灰设备、响应政府应急预案及资源综合利用各得0.5分共2分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kern w:val="0"/>
                <w:sz w:val="24"/>
              </w:rPr>
            </w:pPr>
          </w:p>
        </w:tc>
      </w:tr>
      <w:tr>
        <w:tblPrEx>
          <w:tblLayout w:type="fixed"/>
          <w:tblCellMar>
            <w:top w:w="0" w:type="dxa"/>
            <w:left w:w="108" w:type="dxa"/>
            <w:bottom w:w="0" w:type="dxa"/>
            <w:right w:w="108" w:type="dxa"/>
          </w:tblCellMar>
        </w:tblPrEx>
        <w:trPr>
          <w:trHeight w:val="680" w:hRule="exact"/>
        </w:trPr>
        <w:tc>
          <w:tcPr>
            <w:tcW w:w="3267"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kern w:val="0"/>
                <w:sz w:val="24"/>
              </w:rPr>
            </w:pPr>
            <w:r>
              <w:rPr>
                <w:rFonts w:hint="eastAsia" w:ascii="仿宋" w:hAnsi="仿宋" w:eastAsia="仿宋" w:cs="仿宋"/>
                <w:kern w:val="0"/>
                <w:sz w:val="24"/>
              </w:rPr>
              <w:t>合计分值</w:t>
            </w:r>
          </w:p>
        </w:tc>
        <w:tc>
          <w:tcPr>
            <w:tcW w:w="85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仿宋"/>
                <w:kern w:val="0"/>
                <w:sz w:val="24"/>
              </w:rPr>
            </w:pPr>
            <w:r>
              <w:rPr>
                <w:rFonts w:hint="eastAsia" w:ascii="仿宋" w:hAnsi="仿宋" w:eastAsia="仿宋" w:cs="仿宋"/>
                <w:kern w:val="0"/>
                <w:sz w:val="24"/>
              </w:rPr>
              <w:t>100</w:t>
            </w:r>
          </w:p>
        </w:tc>
        <w:tc>
          <w:tcPr>
            <w:tcW w:w="5697"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kern w:val="0"/>
                <w:sz w:val="24"/>
              </w:rPr>
            </w:pPr>
            <w:r>
              <w:rPr>
                <w:rFonts w:hint="eastAsia" w:ascii="仿宋" w:hAnsi="仿宋" w:eastAsia="仿宋" w:cs="仿宋"/>
                <w:kern w:val="0"/>
                <w:sz w:val="24"/>
              </w:rPr>
              <w:t>得分</w:t>
            </w:r>
          </w:p>
        </w:tc>
        <w:tc>
          <w:tcPr>
            <w:tcW w:w="7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r>
    </w:tbl>
    <w:p>
      <w:pPr>
        <w:rPr>
          <w:rFonts w:eastAsia="仿宋"/>
          <w:b/>
          <w:bCs/>
        </w:rPr>
      </w:pPr>
      <w:r>
        <w:rPr>
          <w:rFonts w:hint="eastAsia"/>
          <w:b/>
          <w:bCs/>
        </w:rPr>
        <w:t>说明：带</w:t>
      </w:r>
      <w:r>
        <w:rPr>
          <w:rFonts w:hint="eastAsia" w:ascii="仿宋" w:hAnsi="仿宋" w:eastAsia="仿宋" w:cs="仿宋"/>
          <w:b/>
          <w:color w:val="000000"/>
          <w:kern w:val="0"/>
          <w:sz w:val="24"/>
        </w:rPr>
        <w:t>“※”表示若该项目未达到要求，则应限期内进行整改。</w:t>
      </w:r>
    </w:p>
    <w:p>
      <w:pPr>
        <w:rPr>
          <w:rFonts w:ascii="黑体" w:hAnsi="黑体" w:eastAsia="黑体"/>
          <w:bCs/>
        </w:rPr>
      </w:pPr>
    </w:p>
    <w:p>
      <w:pPr>
        <w:rPr>
          <w:rFonts w:ascii="黑体" w:hAnsi="黑体" w:eastAsia="黑体"/>
          <w:bCs/>
        </w:rPr>
      </w:pPr>
      <w:r>
        <w:rPr>
          <w:rFonts w:hint="eastAsia" w:ascii="黑体" w:hAnsi="黑体" w:eastAsia="黑体"/>
          <w:bCs/>
        </w:rPr>
        <w:t>检查负责人签字：                         站点负责人签字（盖章）：</w:t>
      </w:r>
    </w:p>
    <w:p>
      <w:pPr>
        <w:rPr>
          <w:rFonts w:ascii="黑体" w:hAnsi="黑体" w:eastAsia="黑体"/>
        </w:rPr>
      </w:pPr>
    </w:p>
    <w:p>
      <w:pPr>
        <w:rPr>
          <w:rFonts w:ascii="黑体" w:hAnsi="黑体" w:eastAsia="黑体"/>
        </w:rPr>
      </w:pPr>
    </w:p>
    <w:p>
      <w:pPr>
        <w:tabs>
          <w:tab w:val="left" w:pos="1280"/>
        </w:tabs>
        <w:ind w:firstLine="4830" w:firstLineChars="2300"/>
        <w:jc w:val="left"/>
        <w:rPr>
          <w:rFonts w:ascii="黑体" w:hAnsi="黑体" w:eastAsia="黑体"/>
        </w:rPr>
      </w:pPr>
      <w:r>
        <w:rPr>
          <w:rFonts w:hint="eastAsia" w:ascii="黑体" w:hAnsi="黑体" w:eastAsia="黑体"/>
        </w:rPr>
        <w:t xml:space="preserve">检查时间：        年     月    </w:t>
      </w:r>
    </w:p>
    <w:p>
      <w:pPr>
        <w:tabs>
          <w:tab w:val="left" w:pos="1280"/>
        </w:tabs>
        <w:jc w:val="left"/>
        <w:rPr>
          <w:rFonts w:ascii="黑体" w:hAnsi="黑体" w:eastAsia="黑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435E6E"/>
    <w:rsid w:val="298A7608"/>
    <w:rsid w:val="63435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2019-07-23T03:32:00Z</dcterms:created>
  <dc:creator>残叶1419824337</dc:creator>
  <cp:lastModifiedBy>残叶1419824337</cp:lastModifiedBy>
  <dcterms:modified xsi:type="dcterms:W3CDTF">2019-07-23T03:40:20Z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