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280"/>
        </w:tabs>
        <w:jc w:val="left"/>
        <w:rPr>
          <w:rFonts w:hint="default" w:ascii="黑体" w:hAnsi="黑体" w:eastAsia="黑体" w:cs="黑体"/>
          <w:bCs/>
          <w:sz w:val="32"/>
          <w:szCs w:val="32"/>
          <w:lang w:val="en-US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表10</w:t>
      </w:r>
    </w:p>
    <w:p>
      <w:pPr>
        <w:jc w:val="center"/>
        <w:rPr>
          <w:rFonts w:ascii="宋体"/>
          <w:b/>
          <w:bCs/>
          <w:kern w:val="0"/>
          <w:sz w:val="36"/>
          <w:szCs w:val="36"/>
        </w:rPr>
      </w:pPr>
      <w:bookmarkStart w:id="0" w:name="_GoBack"/>
      <w:r>
        <w:rPr>
          <w:rFonts w:hint="eastAsia" w:ascii="方正小标宋简体" w:eastAsia="方正小标宋简体" w:cs="宋体"/>
          <w:b/>
          <w:bCs/>
          <w:kern w:val="0"/>
          <w:sz w:val="36"/>
          <w:szCs w:val="36"/>
        </w:rPr>
        <w:t>预拌</w:t>
      </w:r>
      <w:r>
        <w:rPr>
          <w:rFonts w:hint="eastAsia" w:ascii="方正小标宋简体" w:hAnsi="宋体" w:eastAsia="方正小标宋简体" w:cs="宋体"/>
          <w:b/>
          <w:bCs/>
          <w:kern w:val="0"/>
          <w:sz w:val="36"/>
          <w:szCs w:val="36"/>
        </w:rPr>
        <w:t>砂浆生产企业综合检查表</w:t>
      </w:r>
    </w:p>
    <w:bookmarkEnd w:id="0"/>
    <w:p>
      <w:pPr>
        <w:spacing w:line="440" w:lineRule="exact"/>
        <w:ind w:left="-267" w:leftChars="-127" w:right="-512" w:rightChars="-244" w:firstLine="141" w:firstLineChars="50"/>
        <w:rPr>
          <w:b/>
          <w:sz w:val="28"/>
          <w:szCs w:val="24"/>
        </w:rPr>
      </w:pPr>
      <w:r>
        <w:rPr>
          <w:rFonts w:hint="eastAsia" w:ascii="仿宋_GB2312" w:hAnsi="宋体" w:eastAsia="仿宋_GB2312" w:cs="仿宋_GB2312"/>
          <w:b/>
          <w:kern w:val="0"/>
          <w:sz w:val="28"/>
          <w:szCs w:val="24"/>
        </w:rPr>
        <w:t>企业名称：</w:t>
      </w:r>
      <w:r>
        <w:rPr>
          <w:rFonts w:hint="eastAsia" w:ascii="仿宋_GB2312" w:hAnsi="宋体" w:eastAsia="仿宋_GB2312" w:cs="仿宋_GB2312"/>
          <w:b/>
          <w:kern w:val="0"/>
          <w:sz w:val="28"/>
          <w:szCs w:val="24"/>
          <w:lang w:val="en-US" w:eastAsia="zh-CN"/>
        </w:rPr>
        <w:t xml:space="preserve">                                    </w:t>
      </w:r>
      <w:r>
        <w:rPr>
          <w:rFonts w:hint="eastAsia" w:ascii="仿宋_GB2312" w:hAnsi="宋体" w:eastAsia="仿宋_GB2312" w:cs="仿宋_GB2312"/>
          <w:b/>
          <w:kern w:val="0"/>
          <w:sz w:val="28"/>
          <w:szCs w:val="24"/>
        </w:rPr>
        <w:t>年</w:t>
      </w:r>
      <w:r>
        <w:rPr>
          <w:rFonts w:hint="eastAsia" w:ascii="仿宋_GB2312" w:hAnsi="宋体" w:eastAsia="仿宋_GB2312" w:cs="仿宋_GB2312"/>
          <w:b/>
          <w:kern w:val="0"/>
          <w:sz w:val="28"/>
          <w:szCs w:val="24"/>
          <w:lang w:val="en-US" w:eastAsia="zh-CN"/>
        </w:rPr>
        <w:t xml:space="preserve">  </w:t>
      </w:r>
      <w:r>
        <w:rPr>
          <w:rFonts w:hint="eastAsia" w:ascii="仿宋_GB2312" w:hAnsi="宋体" w:eastAsia="仿宋_GB2312" w:cs="仿宋_GB2312"/>
          <w:b/>
          <w:kern w:val="0"/>
          <w:sz w:val="28"/>
          <w:szCs w:val="24"/>
        </w:rPr>
        <w:t>月</w:t>
      </w:r>
      <w:r>
        <w:rPr>
          <w:rFonts w:hint="eastAsia" w:ascii="仿宋_GB2312" w:hAnsi="宋体" w:eastAsia="仿宋_GB2312" w:cs="仿宋_GB2312"/>
          <w:b/>
          <w:kern w:val="0"/>
          <w:sz w:val="28"/>
          <w:szCs w:val="24"/>
          <w:lang w:val="en-US" w:eastAsia="zh-CN"/>
        </w:rPr>
        <w:t xml:space="preserve">  </w:t>
      </w:r>
      <w:r>
        <w:rPr>
          <w:rFonts w:hint="eastAsia" w:ascii="仿宋_GB2312" w:hAnsi="宋体" w:eastAsia="仿宋_GB2312" w:cs="仿宋_GB2312"/>
          <w:b/>
          <w:kern w:val="0"/>
          <w:sz w:val="28"/>
          <w:szCs w:val="24"/>
        </w:rPr>
        <w:t>日</w:t>
      </w:r>
    </w:p>
    <w:tbl>
      <w:tblPr>
        <w:tblStyle w:val="3"/>
        <w:tblW w:w="905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"/>
        <w:gridCol w:w="545"/>
        <w:gridCol w:w="1459"/>
        <w:gridCol w:w="2100"/>
        <w:gridCol w:w="3362"/>
        <w:gridCol w:w="10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8"/>
                <w:szCs w:val="28"/>
              </w:rPr>
              <w:t>总项</w:t>
            </w: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8"/>
                <w:szCs w:val="28"/>
              </w:rPr>
              <w:t>检查内容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8"/>
                <w:szCs w:val="28"/>
              </w:rPr>
              <w:t>检查方法</w:t>
            </w:r>
          </w:p>
        </w:tc>
        <w:tc>
          <w:tcPr>
            <w:tcW w:w="3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8"/>
                <w:szCs w:val="28"/>
              </w:rPr>
              <w:t>检查情况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检查人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4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5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质 保 体 系</w:t>
            </w: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ind w:left="120" w:hanging="120" w:hangingChars="50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企业主要人员及能力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rPr>
                <w:rFonts w:ascii="仿宋_GB2312" w:hAnsi="宋体" w:eastAsia="仿宋_GB2312" w:cs="仿宋_GB2312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查看职称证、任职证明履历、社保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劳动合同及在岗履职能力评价等</w:t>
            </w:r>
          </w:p>
        </w:tc>
        <w:tc>
          <w:tcPr>
            <w:tcW w:w="3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3" w:hRule="atLeast"/>
          <w:jc w:val="center"/>
        </w:trPr>
        <w:tc>
          <w:tcPr>
            <w:tcW w:w="4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5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管理体系运行情况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sz w:val="24"/>
                <w:szCs w:val="24"/>
              </w:rPr>
              <w:t>查看管理体系的整体水平运行情况</w:t>
            </w:r>
          </w:p>
        </w:tc>
        <w:tc>
          <w:tcPr>
            <w:tcW w:w="3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rPr>
                <w:rFonts w:ascii="仿宋_GB2312" w:hAnsi="宋体" w:eastAsia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rPr>
                <w:rFonts w:ascii="仿宋_GB2312" w:hAnsi="宋体" w:eastAsia="仿宋_GB2312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atLeast"/>
          <w:jc w:val="center"/>
        </w:trPr>
        <w:tc>
          <w:tcPr>
            <w:tcW w:w="4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5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设 备 和 设 施</w:t>
            </w: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计量配料系统及原材料贮存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抽查生产配料数据，查看检定证书、自校记录等，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现场考察</w:t>
            </w:r>
          </w:p>
        </w:tc>
        <w:tc>
          <w:tcPr>
            <w:tcW w:w="3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1" w:hRule="atLeast"/>
          <w:jc w:val="center"/>
        </w:trPr>
        <w:tc>
          <w:tcPr>
            <w:tcW w:w="4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5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设施设备及环境条件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实地查看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质量控制及检验的设施设备，有符合标准要求的养护室、样品间</w:t>
            </w:r>
          </w:p>
        </w:tc>
        <w:tc>
          <w:tcPr>
            <w:tcW w:w="3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3" w:hRule="atLeast"/>
          <w:jc w:val="center"/>
        </w:trPr>
        <w:tc>
          <w:tcPr>
            <w:tcW w:w="4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5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质 量 控 制</w:t>
            </w: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原材料采购使用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查台帐、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质量证明文件、复试检验及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记录报告等</w:t>
            </w:r>
          </w:p>
        </w:tc>
        <w:tc>
          <w:tcPr>
            <w:tcW w:w="3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  <w:jc w:val="center"/>
        </w:trPr>
        <w:tc>
          <w:tcPr>
            <w:tcW w:w="49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配合比控制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查看配合比设计、生产使用及出具</w:t>
            </w:r>
          </w:p>
        </w:tc>
        <w:tc>
          <w:tcPr>
            <w:tcW w:w="3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3" w:hRule="atLeast"/>
          <w:jc w:val="center"/>
        </w:trPr>
        <w:tc>
          <w:tcPr>
            <w:tcW w:w="49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生产质量控制及型式检验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查工作日志、质检日志、生产台帐、型式检验等</w:t>
            </w:r>
          </w:p>
        </w:tc>
        <w:tc>
          <w:tcPr>
            <w:tcW w:w="3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  <w:jc w:val="center"/>
        </w:trPr>
        <w:tc>
          <w:tcPr>
            <w:tcW w:w="49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出厂质量检验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查试件台帐，看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性</w:t>
            </w:r>
          </w:p>
          <w:p>
            <w:pPr>
              <w:widowControl/>
              <w:snapToGrid w:val="0"/>
              <w:spacing w:line="240" w:lineRule="atLeas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能检验及试验方法</w:t>
            </w:r>
          </w:p>
        </w:tc>
        <w:tc>
          <w:tcPr>
            <w:tcW w:w="3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5" w:hRule="atLeast"/>
          <w:jc w:val="center"/>
        </w:trPr>
        <w:tc>
          <w:tcPr>
            <w:tcW w:w="49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5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交货、质量回访及不合格品处理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查看相关记录</w:t>
            </w:r>
          </w:p>
        </w:tc>
        <w:tc>
          <w:tcPr>
            <w:tcW w:w="3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5" w:hRule="atLeast"/>
          <w:jc w:val="center"/>
        </w:trPr>
        <w:tc>
          <w:tcPr>
            <w:tcW w:w="4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5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违规海砂治理情况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检查氯离子检测设备及生产用砂氯离子检测记录台账</w:t>
            </w:r>
          </w:p>
        </w:tc>
        <w:tc>
          <w:tcPr>
            <w:tcW w:w="3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" w:hRule="atLeast"/>
          <w:jc w:val="center"/>
        </w:trPr>
        <w:tc>
          <w:tcPr>
            <w:tcW w:w="4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5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widowControl/>
              <w:snapToGrid w:val="0"/>
              <w:spacing w:line="240" w:lineRule="atLeast"/>
              <w:ind w:left="113" w:right="113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资 料 管 理</w:t>
            </w: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资料管理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240" w:lineRule="atLeas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按相关要求整理归档</w:t>
            </w:r>
          </w:p>
        </w:tc>
        <w:tc>
          <w:tcPr>
            <w:tcW w:w="3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4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5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标准管理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查看标准目录及抽查</w:t>
            </w:r>
          </w:p>
        </w:tc>
        <w:tc>
          <w:tcPr>
            <w:tcW w:w="3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市场行为</w:t>
            </w: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市场行为管理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查看预拌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/>
              </w:rPr>
              <w:t>砂浆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买卖合同，是否存在违规市场行为</w:t>
            </w:r>
          </w:p>
        </w:tc>
        <w:tc>
          <w:tcPr>
            <w:tcW w:w="3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6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扫黑除恶</w:t>
            </w: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扫黑除恶宣传及工作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扫黑除恶宣传标语及搜集线索</w:t>
            </w:r>
          </w:p>
        </w:tc>
        <w:tc>
          <w:tcPr>
            <w:tcW w:w="3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综合意见</w:t>
            </w:r>
          </w:p>
        </w:tc>
        <w:tc>
          <w:tcPr>
            <w:tcW w:w="85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tabs>
                <w:tab w:val="left" w:pos="1185"/>
              </w:tabs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</w:tbl>
    <w:p>
      <w:pPr>
        <w:spacing w:line="420" w:lineRule="exact"/>
        <w:rPr>
          <w:rFonts w:ascii="仿宋_GB2312" w:eastAsia="仿宋_GB2312"/>
          <w:sz w:val="24"/>
          <w:szCs w:val="24"/>
        </w:rPr>
      </w:pP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检查负责人签字：                         企业负责人签字（盖章）：</w:t>
      </w:r>
    </w:p>
    <w:p>
      <w:pPr>
        <w:rPr>
          <w:rFonts w:ascii="仿宋_GB2312" w:eastAsia="仿宋_GB2312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2E136D"/>
    <w:rsid w:val="7A2E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2019-07-23T03:32:00Z</dcterms:created>
  <dc:creator>残叶1419824337</dc:creator>
  <cp:lastModifiedBy>残叶1419824337</cp:lastModifiedBy>
  <dcterms:modified xsi:type="dcterms:W3CDTF">2019-07-23T03:34:49Z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